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979A3D" w14:textId="77777777" w:rsidR="00F90A85" w:rsidRDefault="00B47FEA">
      <w:pPr>
        <w:widowControl w:val="0"/>
        <w:spacing w:line="276" w:lineRule="auto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C4E40C9" wp14:editId="211826F4">
            <wp:simplePos x="0" y="0"/>
            <wp:positionH relativeFrom="column">
              <wp:posOffset>1905000</wp:posOffset>
            </wp:positionH>
            <wp:positionV relativeFrom="paragraph">
              <wp:posOffset>114300</wp:posOffset>
            </wp:positionV>
            <wp:extent cx="1547813" cy="674986"/>
            <wp:effectExtent l="0" t="0" r="0" b="0"/>
            <wp:wrapNone/>
            <wp:docPr id="93756196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674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pPr w:leftFromText="180" w:rightFromText="180" w:vertAnchor="text" w:tblpX="-30"/>
        <w:tblW w:w="2865" w:type="dxa"/>
        <w:tblLayout w:type="fixed"/>
        <w:tblLook w:val="0400" w:firstRow="0" w:lastRow="0" w:firstColumn="0" w:lastColumn="0" w:noHBand="0" w:noVBand="1"/>
      </w:tblPr>
      <w:tblGrid>
        <w:gridCol w:w="2610"/>
        <w:gridCol w:w="255"/>
      </w:tblGrid>
      <w:tr w:rsidR="00F90A85" w14:paraId="596304CC" w14:textId="77777777"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0B0C" w14:textId="77777777" w:rsidR="00F90A85" w:rsidRDefault="00B47FEA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B2346"/>
                <w:sz w:val="24"/>
                <w:szCs w:val="24"/>
              </w:rPr>
              <w:t>LEADERSHIP TEAM</w:t>
            </w:r>
          </w:p>
          <w:p w14:paraId="0585B2FD" w14:textId="77777777" w:rsidR="00F90A85" w:rsidRDefault="00B47F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B2346"/>
                <w:sz w:val="24"/>
                <w:szCs w:val="24"/>
              </w:rPr>
              <w:t>2025 – 2026</w:t>
            </w:r>
          </w:p>
        </w:tc>
        <w:tc>
          <w:tcPr>
            <w:tcW w:w="255" w:type="dxa"/>
          </w:tcPr>
          <w:p w14:paraId="75304F66" w14:textId="77777777" w:rsidR="00F90A85" w:rsidRDefault="00F90A85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B2346"/>
                <w:sz w:val="24"/>
                <w:szCs w:val="24"/>
              </w:rPr>
            </w:pPr>
          </w:p>
        </w:tc>
      </w:tr>
      <w:tr w:rsidR="00F90A85" w14:paraId="0359F589" w14:textId="77777777"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BF2FB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noProof/>
                <w:color w:val="0B2346"/>
                <w:sz w:val="16"/>
                <w:szCs w:val="16"/>
              </w:rPr>
              <w:drawing>
                <wp:inline distT="0" distB="0" distL="0" distR="0" wp14:anchorId="369B2081" wp14:editId="783AC1BD">
                  <wp:extent cx="1143000" cy="85725"/>
                  <wp:effectExtent l="0" t="0" r="0" b="0"/>
                  <wp:docPr id="93756197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5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B2346"/>
                <w:sz w:val="16"/>
                <w:szCs w:val="16"/>
              </w:rPr>
              <w:t> </w:t>
            </w:r>
          </w:p>
          <w:p w14:paraId="33655E1A" w14:textId="77777777" w:rsidR="00F90A85" w:rsidRDefault="00B47FEA">
            <w:pPr>
              <w:spacing w:before="6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Charmen Goehring</w:t>
            </w:r>
          </w:p>
          <w:p w14:paraId="52D7D9E5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President</w:t>
            </w:r>
          </w:p>
          <w:p w14:paraId="3DCF06D9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—</w:t>
            </w:r>
          </w:p>
          <w:p w14:paraId="4A4698CF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Renee MacArthur</w:t>
            </w:r>
          </w:p>
          <w:p w14:paraId="11611F35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Chief Financial Officer</w:t>
            </w:r>
          </w:p>
          <w:p w14:paraId="55F6FE35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—</w:t>
            </w:r>
          </w:p>
          <w:p w14:paraId="7F831BCE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Tracey Clark</w:t>
            </w:r>
          </w:p>
          <w:p w14:paraId="63CEA4E5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Secretary</w:t>
            </w:r>
          </w:p>
          <w:p w14:paraId="0998D729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—</w:t>
            </w:r>
          </w:p>
          <w:p w14:paraId="4782FDEF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Deanna Arthur</w:t>
            </w:r>
          </w:p>
          <w:p w14:paraId="0754A2F4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AAUW Fund</w:t>
            </w:r>
          </w:p>
          <w:p w14:paraId="54FC180C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—</w:t>
            </w:r>
          </w:p>
          <w:p w14:paraId="6633610B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Rebecca R. Gomez</w:t>
            </w:r>
          </w:p>
          <w:p w14:paraId="5C1ED749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Branch Development Co-chair</w:t>
            </w:r>
          </w:p>
          <w:p w14:paraId="2635E1C4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Membership</w:t>
            </w:r>
          </w:p>
          <w:p w14:paraId="7C22D24C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—</w:t>
            </w:r>
          </w:p>
          <w:p w14:paraId="5EEAB35B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Sigrid Moranz</w:t>
            </w:r>
          </w:p>
          <w:p w14:paraId="6CEF8CBD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Co-President Elect</w:t>
            </w:r>
          </w:p>
          <w:p w14:paraId="3CF710F7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Branch Development Co-chair</w:t>
            </w:r>
          </w:p>
          <w:p w14:paraId="6D52B98E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Leadership</w:t>
            </w:r>
          </w:p>
          <w:p w14:paraId="19A57705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—</w:t>
            </w:r>
          </w:p>
          <w:p w14:paraId="7BD3CD29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Sharyn Siebert</w:t>
            </w:r>
          </w:p>
          <w:p w14:paraId="07728FA4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Co-President Elect</w:t>
            </w:r>
          </w:p>
          <w:p w14:paraId="50FD2FDD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Financial Development </w:t>
            </w:r>
          </w:p>
          <w:p w14:paraId="1C220E59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Task Force</w:t>
            </w:r>
          </w:p>
          <w:p w14:paraId="618D36BC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—</w:t>
            </w:r>
          </w:p>
          <w:p w14:paraId="0179B24D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Michelle Baer</w:t>
            </w:r>
          </w:p>
          <w:p w14:paraId="34B9EBF2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Communications</w:t>
            </w:r>
          </w:p>
          <w:p w14:paraId="5B9D70B0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—</w:t>
            </w:r>
          </w:p>
          <w:p w14:paraId="41F90A1C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Donna C. Holmes</w:t>
            </w:r>
          </w:p>
          <w:p w14:paraId="0A05A134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Strategic Plan Consultant </w:t>
            </w:r>
          </w:p>
          <w:p w14:paraId="1505F0E1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—</w:t>
            </w:r>
          </w:p>
          <w:p w14:paraId="1FF6A8EE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Amy Hom</w:t>
            </w:r>
          </w:p>
          <w:p w14:paraId="54BB66FC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Public Policy Co-chair</w:t>
            </w:r>
          </w:p>
          <w:p w14:paraId="346AB80D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—</w:t>
            </w:r>
          </w:p>
          <w:p w14:paraId="7D2390C7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Melissa Maceyko</w:t>
            </w:r>
          </w:p>
          <w:p w14:paraId="58761C20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Public Policy Co-chair</w:t>
            </w:r>
            <w:r>
              <w:rPr>
                <w:b/>
                <w:color w:val="0B2346"/>
                <w:sz w:val="16"/>
                <w:szCs w:val="16"/>
              </w:rPr>
              <w:t> </w:t>
            </w:r>
          </w:p>
          <w:p w14:paraId="4621DEF3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noProof/>
                <w:color w:val="0B2346"/>
                <w:sz w:val="16"/>
                <w:szCs w:val="16"/>
              </w:rPr>
              <w:drawing>
                <wp:inline distT="0" distB="0" distL="0" distR="0" wp14:anchorId="01275771" wp14:editId="5D522D31">
                  <wp:extent cx="1162050" cy="76200"/>
                  <wp:effectExtent l="0" t="0" r="0" b="0"/>
                  <wp:docPr id="93756196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C72FCA0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Mary Isaac</w:t>
            </w:r>
          </w:p>
          <w:p w14:paraId="025252A2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Tech Trek</w:t>
            </w:r>
          </w:p>
          <w:p w14:paraId="2B38AF6D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noProof/>
                <w:color w:val="0B2346"/>
                <w:sz w:val="16"/>
                <w:szCs w:val="16"/>
              </w:rPr>
              <w:drawing>
                <wp:inline distT="0" distB="0" distL="0" distR="0" wp14:anchorId="349C91E9" wp14:editId="7596662B">
                  <wp:extent cx="1162050" cy="76200"/>
                  <wp:effectExtent l="0" t="0" r="0" b="0"/>
                  <wp:docPr id="93756196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8AEA046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Marty McKnew</w:t>
            </w:r>
          </w:p>
          <w:p w14:paraId="1E476656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Governance/</w:t>
            </w:r>
          </w:p>
          <w:p w14:paraId="342DC0F8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Parliamentarian</w:t>
            </w:r>
          </w:p>
          <w:p w14:paraId="5A50A7C2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—</w:t>
            </w:r>
          </w:p>
          <w:p w14:paraId="6340AA1F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Gail Swain</w:t>
            </w:r>
          </w:p>
          <w:p w14:paraId="42CB4FA3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Nominations and Elections</w:t>
            </w:r>
          </w:p>
          <w:p w14:paraId="0CBAFB08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—</w:t>
            </w:r>
          </w:p>
          <w:p w14:paraId="7C3D1B13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color w:val="0B2346"/>
                <w:sz w:val="16"/>
                <w:szCs w:val="16"/>
              </w:rPr>
              <w:t> Julika Barrett</w:t>
            </w:r>
          </w:p>
          <w:p w14:paraId="4F449872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color w:val="0B2346"/>
                <w:sz w:val="16"/>
                <w:szCs w:val="16"/>
              </w:rPr>
              <w:t>Office Manager</w:t>
            </w:r>
          </w:p>
          <w:p w14:paraId="159920AA" w14:textId="77777777" w:rsidR="00F90A85" w:rsidRDefault="00B47FEA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B2346"/>
                <w:sz w:val="24"/>
                <w:szCs w:val="24"/>
              </w:rPr>
            </w:pPr>
            <w:r>
              <w:rPr>
                <w:b/>
                <w:noProof/>
                <w:color w:val="0B2346"/>
                <w:sz w:val="16"/>
                <w:szCs w:val="16"/>
              </w:rPr>
              <w:drawing>
                <wp:inline distT="0" distB="0" distL="0" distR="0" wp14:anchorId="25DA6740" wp14:editId="46B7BDD1">
                  <wp:extent cx="1162050" cy="76200"/>
                  <wp:effectExtent l="0" t="0" r="0" b="0"/>
                  <wp:docPr id="93756196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 w14:paraId="2E86C5AB" w14:textId="77777777" w:rsidR="00F90A85" w:rsidRDefault="00F90A85">
            <w:pPr>
              <w:spacing w:line="240" w:lineRule="auto"/>
              <w:ind w:left="-20"/>
              <w:jc w:val="center"/>
              <w:rPr>
                <w:b/>
                <w:color w:val="0B2346"/>
                <w:sz w:val="16"/>
                <w:szCs w:val="16"/>
              </w:rPr>
            </w:pPr>
          </w:p>
        </w:tc>
      </w:tr>
    </w:tbl>
    <w:p w14:paraId="2D2D3607" w14:textId="77777777" w:rsidR="00F90A85" w:rsidRDefault="00F90A85">
      <w:pPr>
        <w:ind w:left="1440"/>
      </w:pPr>
    </w:p>
    <w:p w14:paraId="3A7E794B" w14:textId="77777777" w:rsidR="00F90A85" w:rsidRDefault="00F90A85">
      <w:pPr>
        <w:spacing w:before="480" w:after="120" w:line="240" w:lineRule="auto"/>
        <w:rPr>
          <w:b/>
        </w:rPr>
      </w:pPr>
    </w:p>
    <w:p w14:paraId="2100086A" w14:textId="77777777" w:rsidR="00F90A85" w:rsidRDefault="00B47FEA">
      <w:pPr>
        <w:spacing w:before="480" w:after="12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b/>
          <w:color w:val="000000"/>
        </w:rPr>
        <w:t>Addressee</w:t>
      </w:r>
    </w:p>
    <w:p w14:paraId="194FA001" w14:textId="77777777" w:rsidR="00F90A85" w:rsidRDefault="00F90A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A0382" w14:textId="77777777" w:rsidR="00F90A85" w:rsidRDefault="00F90A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254E18" w14:textId="77777777" w:rsidR="00F90A85" w:rsidRDefault="00F90A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31CD93" w14:textId="77777777" w:rsidR="00F90A85" w:rsidRDefault="00B47FE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Text begins here…</w:t>
      </w:r>
    </w:p>
    <w:p w14:paraId="64A87EF4" w14:textId="77777777" w:rsidR="00F90A85" w:rsidRDefault="00F90A85"/>
    <w:p w14:paraId="2F1B4EE7" w14:textId="77777777" w:rsidR="00F90A85" w:rsidRDefault="00F90A85"/>
    <w:p w14:paraId="45AEBBD9" w14:textId="77777777" w:rsidR="00F90A85" w:rsidRDefault="00F90A85"/>
    <w:p w14:paraId="5B695C0E" w14:textId="77777777" w:rsidR="00F90A85" w:rsidRDefault="00F90A85"/>
    <w:p w14:paraId="73FD7853" w14:textId="77777777" w:rsidR="00F90A85" w:rsidRDefault="00F90A85"/>
    <w:p w14:paraId="5DFDEFED" w14:textId="77777777" w:rsidR="00F90A85" w:rsidRDefault="00F90A85"/>
    <w:p w14:paraId="71EA46F6" w14:textId="77777777" w:rsidR="00F90A85" w:rsidRDefault="00F90A85"/>
    <w:p w14:paraId="43B152D6" w14:textId="77777777" w:rsidR="00F90A85" w:rsidRDefault="00F90A85"/>
    <w:p w14:paraId="04C3C52C" w14:textId="77777777" w:rsidR="00F90A85" w:rsidRDefault="00F90A85"/>
    <w:p w14:paraId="656FCBE6" w14:textId="77777777" w:rsidR="00F90A85" w:rsidRDefault="00F90A85"/>
    <w:p w14:paraId="0CEE2920" w14:textId="77777777" w:rsidR="00F90A85" w:rsidRDefault="00F90A85"/>
    <w:p w14:paraId="27AC59B0" w14:textId="77777777" w:rsidR="00F90A85" w:rsidRDefault="00F90A85"/>
    <w:p w14:paraId="19F97D19" w14:textId="77777777" w:rsidR="00F90A85" w:rsidRDefault="00F90A85"/>
    <w:p w14:paraId="1340D87D" w14:textId="77777777" w:rsidR="00F90A85" w:rsidRDefault="00F90A85"/>
    <w:p w14:paraId="39BDF3ED" w14:textId="77777777" w:rsidR="00F90A85" w:rsidRDefault="00F90A85"/>
    <w:p w14:paraId="47438DA2" w14:textId="77777777" w:rsidR="00F90A85" w:rsidRDefault="00F90A85"/>
    <w:p w14:paraId="059D6515" w14:textId="77777777" w:rsidR="00F90A85" w:rsidRDefault="00F90A85"/>
    <w:p w14:paraId="023B9952" w14:textId="77777777" w:rsidR="00F90A85" w:rsidRDefault="00F90A85"/>
    <w:p w14:paraId="4375853A" w14:textId="77777777" w:rsidR="00F90A85" w:rsidRDefault="00F90A85"/>
    <w:p w14:paraId="0E84E2E2" w14:textId="77777777" w:rsidR="00F90A85" w:rsidRDefault="00F90A85"/>
    <w:p w14:paraId="1B00B64B" w14:textId="77777777" w:rsidR="00F90A85" w:rsidRDefault="00F90A85"/>
    <w:p w14:paraId="055E2BF3" w14:textId="77777777" w:rsidR="00F90A85" w:rsidRDefault="00F90A85"/>
    <w:p w14:paraId="08C8AE72" w14:textId="77777777" w:rsidR="00F90A85" w:rsidRDefault="00F90A85"/>
    <w:p w14:paraId="15D9027D" w14:textId="77777777" w:rsidR="00F90A85" w:rsidRDefault="00F90A85"/>
    <w:p w14:paraId="41413C4B" w14:textId="77777777" w:rsidR="00F90A85" w:rsidRDefault="00F90A85"/>
    <w:p w14:paraId="7EB2DCA3" w14:textId="77777777" w:rsidR="00F90A85" w:rsidRDefault="00F90A85"/>
    <w:p w14:paraId="2EC75FCA" w14:textId="77777777" w:rsidR="00F90A85" w:rsidRDefault="00F90A85"/>
    <w:p w14:paraId="31B2848D" w14:textId="77777777" w:rsidR="00F90A85" w:rsidRDefault="00F90A85"/>
    <w:p w14:paraId="2893E998" w14:textId="77777777" w:rsidR="00F90A85" w:rsidRDefault="00F90A85"/>
    <w:p w14:paraId="4D7533ED" w14:textId="77777777" w:rsidR="00F90A85" w:rsidRDefault="00F90A85"/>
    <w:p w14:paraId="2455DE6C" w14:textId="77777777" w:rsidR="00F90A85" w:rsidRDefault="00F90A85"/>
    <w:p w14:paraId="0D42881D" w14:textId="77777777" w:rsidR="00F90A85" w:rsidRDefault="00F90A85"/>
    <w:p w14:paraId="4C6C80D3" w14:textId="77777777" w:rsidR="00F90A85" w:rsidRDefault="00F90A85"/>
    <w:p w14:paraId="7996F2A5" w14:textId="77777777" w:rsidR="00F90A85" w:rsidRDefault="00F90A85"/>
    <w:p w14:paraId="2EE79589" w14:textId="77777777" w:rsidR="00F90A85" w:rsidRDefault="00F90A85"/>
    <w:p w14:paraId="05606A56" w14:textId="77777777" w:rsidR="00F90A85" w:rsidRDefault="00F90A85"/>
    <w:p w14:paraId="5EDC163E" w14:textId="77777777" w:rsidR="00F90A85" w:rsidRDefault="00F90A85"/>
    <w:sectPr w:rsidR="00F90A85">
      <w:pgSz w:w="12240" w:h="15840"/>
      <w:pgMar w:top="108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85"/>
    <w:rsid w:val="000D421C"/>
    <w:rsid w:val="00B47FEA"/>
    <w:rsid w:val="00F9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CEE22"/>
  <w15:docId w15:val="{E516E220-280C-41C0-8525-425EF5FE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tabs>
        <w:tab w:val="center" w:pos="3240"/>
        <w:tab w:val="right" w:pos="7110"/>
      </w:tabs>
      <w:spacing w:line="240" w:lineRule="auto"/>
      <w:ind w:left="90" w:right="9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jc w:val="center"/>
      <w:outlineLvl w:val="1"/>
    </w:pPr>
    <w:rPr>
      <w:b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52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2E3"/>
  </w:style>
  <w:style w:type="paragraph" w:styleId="Footer">
    <w:name w:val="footer"/>
    <w:basedOn w:val="Normal"/>
    <w:link w:val="FooterChar"/>
    <w:uiPriority w:val="99"/>
    <w:unhideWhenUsed/>
    <w:rsid w:val="006E52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2E3"/>
  </w:style>
  <w:style w:type="table" w:styleId="TableGrid">
    <w:name w:val="Table Grid"/>
    <w:basedOn w:val="TableNormal"/>
    <w:uiPriority w:val="39"/>
    <w:rsid w:val="003C28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UHp/QYW+bEzi1XS7eo0m289Eg==">CgMxLjA4AHIhMWs5SHFpY2hLZ0NBRWNpRmVsS0JNaTJEUDNZRU8ySl9Y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564</Characters>
  <Application>Microsoft Office Word</Application>
  <DocSecurity>0</DocSecurity>
  <Lines>100</Lines>
  <Paragraphs>40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Julika Barrett</dc:creator>
  <cp:lastModifiedBy>Julika Barrett</cp:lastModifiedBy>
  <cp:revision>2</cp:revision>
  <dcterms:created xsi:type="dcterms:W3CDTF">2025-06-24T17:54:00Z</dcterms:created>
  <dcterms:modified xsi:type="dcterms:W3CDTF">2025-06-24T17:54:00Z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fe1a9746-4fe6-4a00-a112-c099acbfde77</vt:lpwstr>
  </property>
</Properties>
</file>