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FB249C" w14:textId="77777777" w:rsidR="0024435D" w:rsidRDefault="0024435D">
      <w:pPr>
        <w:ind w:left="720"/>
      </w:pPr>
    </w:p>
    <w:tbl>
      <w:tblPr>
        <w:tblStyle w:val="a0"/>
        <w:tblW w:w="10710" w:type="dxa"/>
        <w:tblInd w:w="-180" w:type="dxa"/>
        <w:tblLayout w:type="fixed"/>
        <w:tblLook w:val="0600" w:firstRow="0" w:lastRow="0" w:firstColumn="0" w:lastColumn="0" w:noHBand="1" w:noVBand="1"/>
      </w:tblPr>
      <w:tblGrid>
        <w:gridCol w:w="2295"/>
        <w:gridCol w:w="8415"/>
      </w:tblGrid>
      <w:tr w:rsidR="0024435D" w14:paraId="391CEEAA" w14:textId="77777777">
        <w:tc>
          <w:tcPr>
            <w:tcW w:w="229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260D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LEADERSHIP TEAM</w:t>
            </w:r>
          </w:p>
          <w:p w14:paraId="48988F19" w14:textId="77777777" w:rsidR="0024435D" w:rsidRDefault="007F2221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2024 – 2025</w:t>
            </w:r>
          </w:p>
        </w:tc>
        <w:tc>
          <w:tcPr>
            <w:tcW w:w="841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8BC6" w14:textId="77777777" w:rsidR="0024435D" w:rsidRDefault="007F2221">
            <w:pPr>
              <w:widowControl w:val="0"/>
              <w:spacing w:line="240" w:lineRule="auto"/>
              <w:ind w:left="720"/>
            </w:pPr>
            <w:r>
              <w:rPr>
                <w:noProof/>
              </w:rPr>
              <w:drawing>
                <wp:inline distT="0" distB="0" distL="0" distR="0" wp14:anchorId="009ED9EB" wp14:editId="691AAB9D">
                  <wp:extent cx="1358105" cy="593039"/>
                  <wp:effectExtent l="0" t="0" r="0" b="0"/>
                  <wp:docPr id="503357481" name="image1.png" descr="A blue and orang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blue and orange logo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105" cy="5930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35D" w14:paraId="2A7DC555" w14:textId="77777777">
        <w:tc>
          <w:tcPr>
            <w:tcW w:w="229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D164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3F369C6C" wp14:editId="2D1BC03D">
                  <wp:extent cx="1139190" cy="87630"/>
                  <wp:effectExtent l="0" t="0" r="0" b="0"/>
                  <wp:docPr id="50335748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7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EF9B6CD" w14:textId="77777777" w:rsidR="0024435D" w:rsidRDefault="007F2221">
            <w:pPr>
              <w:widowControl w:val="0"/>
              <w:spacing w:before="60"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Charmen Goehring</w:t>
            </w:r>
          </w:p>
          <w:p w14:paraId="7CE6CFA1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President</w:t>
            </w:r>
          </w:p>
          <w:p w14:paraId="3DB848C0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61CBD1ED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Kathy Ford</w:t>
            </w:r>
          </w:p>
          <w:p w14:paraId="63416BAE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Chief Financial Officer</w:t>
            </w:r>
          </w:p>
          <w:p w14:paraId="5FCCD258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FAE5588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Tracey Clark</w:t>
            </w:r>
          </w:p>
          <w:p w14:paraId="6E141AE5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Secretary</w:t>
            </w:r>
          </w:p>
          <w:p w14:paraId="1458B0E4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2986CB4F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Deanna Arthur</w:t>
            </w:r>
          </w:p>
          <w:p w14:paraId="33325D2F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AAUW Fund</w:t>
            </w:r>
          </w:p>
          <w:p w14:paraId="2E2D927E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2559AB04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Sigrid Moranz</w:t>
            </w:r>
          </w:p>
          <w:p w14:paraId="7C02779D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Branch Development Co-chair</w:t>
            </w:r>
          </w:p>
          <w:p w14:paraId="05B3C6F6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Leadership</w:t>
            </w:r>
          </w:p>
          <w:p w14:paraId="5CE487D5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63BE69F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Rebecca R. Gomez</w:t>
            </w:r>
          </w:p>
          <w:p w14:paraId="030B3F5A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Branch Development Co-chair</w:t>
            </w:r>
          </w:p>
          <w:p w14:paraId="618A0E26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Membership</w:t>
            </w:r>
          </w:p>
          <w:p w14:paraId="084DB954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28CB76C0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Donna C. Holmes</w:t>
            </w:r>
          </w:p>
          <w:p w14:paraId="2097762C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Communications Co-chair</w:t>
            </w:r>
          </w:p>
          <w:p w14:paraId="6D9D4854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5ECB042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Michelle Davis Baer</w:t>
            </w:r>
          </w:p>
          <w:p w14:paraId="2432A3A1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Communications Co-chair</w:t>
            </w:r>
          </w:p>
          <w:p w14:paraId="45BC0E30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A7911D7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Lata Murti, Ph.D.</w:t>
            </w:r>
          </w:p>
          <w:p w14:paraId="71AE4D1A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Diversity, Equity, and Inclusion</w:t>
            </w:r>
          </w:p>
          <w:p w14:paraId="46D0E325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6A6D04A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Amy Hom</w:t>
            </w:r>
          </w:p>
          <w:p w14:paraId="58919C85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Public Policy Co-chair</w:t>
            </w:r>
          </w:p>
          <w:p w14:paraId="652E7AE6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32DA890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Melissa Maceyko</w:t>
            </w:r>
          </w:p>
          <w:p w14:paraId="49A88271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Public Policy Co-chair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0A0F2A1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1CAAB84F" wp14:editId="5C6D6180">
                  <wp:extent cx="1162050" cy="76200"/>
                  <wp:effectExtent l="0" t="0" r="0" b="0"/>
                  <wp:docPr id="50335748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88F291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Mary Isaac</w:t>
            </w:r>
          </w:p>
          <w:p w14:paraId="35CE639E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Trek</w:t>
            </w:r>
          </w:p>
          <w:p w14:paraId="49D06E0D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6B424B2E" wp14:editId="694B2230">
                  <wp:extent cx="1162050" cy="76200"/>
                  <wp:effectExtent l="0" t="0" r="0" b="0"/>
                  <wp:docPr id="50335748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1AD7C4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Marty McKnew</w:t>
            </w:r>
          </w:p>
          <w:p w14:paraId="0CD45B63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Governance/</w:t>
            </w:r>
          </w:p>
          <w:p w14:paraId="49C2AEFE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Parliamentarian</w:t>
            </w:r>
          </w:p>
          <w:p w14:paraId="4CC031CC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04432BB1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B2346"/>
                <w:sz w:val="16"/>
                <w:szCs w:val="16"/>
              </w:rPr>
              <w:t>Julika Barrett</w:t>
            </w:r>
          </w:p>
          <w:p w14:paraId="1FEFCAD8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Office Manager</w:t>
            </w:r>
          </w:p>
          <w:p w14:paraId="4D457405" w14:textId="77777777" w:rsidR="0024435D" w:rsidRDefault="007F2221">
            <w:pPr>
              <w:widowControl w:val="0"/>
              <w:spacing w:line="276" w:lineRule="auto"/>
              <w:ind w:left="-20"/>
              <w:jc w:val="center"/>
              <w:rPr>
                <w:b/>
                <w:color w:val="5C8727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026B7CA9" wp14:editId="7099FE1D">
                  <wp:extent cx="1162050" cy="76200"/>
                  <wp:effectExtent l="0" t="0" r="0" b="0"/>
                  <wp:docPr id="50335748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BC74" w14:textId="77777777" w:rsidR="0024435D" w:rsidRDefault="007F2221">
            <w:pPr>
              <w:pStyle w:val="Heading1"/>
              <w:widowControl w:val="0"/>
              <w:spacing w:before="480" w:after="120"/>
              <w:ind w:left="720" w:right="0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Addressee</w:t>
            </w:r>
          </w:p>
          <w:p w14:paraId="71CAA9C5" w14:textId="77777777" w:rsidR="0024435D" w:rsidRDefault="0024435D">
            <w:pPr>
              <w:spacing w:line="240" w:lineRule="auto"/>
              <w:ind w:left="720"/>
            </w:pPr>
          </w:p>
          <w:p w14:paraId="06DFDFAF" w14:textId="77777777" w:rsidR="0024435D" w:rsidRDefault="007F2221">
            <w:pPr>
              <w:spacing w:line="240" w:lineRule="auto"/>
              <w:ind w:left="720"/>
            </w:pPr>
            <w:r>
              <w:t>Text begins here…</w:t>
            </w:r>
          </w:p>
          <w:p w14:paraId="5594EC74" w14:textId="77777777" w:rsidR="0024435D" w:rsidRDefault="007F2221">
            <w:pPr>
              <w:widowControl w:val="0"/>
              <w:spacing w:before="240" w:after="240" w:line="240" w:lineRule="auto"/>
              <w:ind w:left="720"/>
            </w:pPr>
            <w:r>
              <w:t xml:space="preserve"> </w:t>
            </w:r>
          </w:p>
          <w:p w14:paraId="4D3FFA9A" w14:textId="77777777" w:rsidR="0024435D" w:rsidRDefault="0024435D">
            <w:pPr>
              <w:widowControl w:val="0"/>
              <w:spacing w:line="240" w:lineRule="auto"/>
              <w:ind w:left="720"/>
              <w:rPr>
                <w:color w:val="0B2346"/>
              </w:rPr>
            </w:pPr>
          </w:p>
        </w:tc>
      </w:tr>
    </w:tbl>
    <w:p w14:paraId="36080A1F" w14:textId="77777777" w:rsidR="0024435D" w:rsidRDefault="007F2221">
      <w:r>
        <w:br w:type="page"/>
      </w:r>
    </w:p>
    <w:p w14:paraId="6D792299" w14:textId="77777777" w:rsidR="0024435D" w:rsidRDefault="0024435D"/>
    <w:p w14:paraId="5B313188" w14:textId="77777777" w:rsidR="0024435D" w:rsidRDefault="0024435D"/>
    <w:p w14:paraId="09460241" w14:textId="77777777" w:rsidR="0024435D" w:rsidRDefault="0024435D"/>
    <w:p w14:paraId="5DD134E7" w14:textId="77777777" w:rsidR="0024435D" w:rsidRDefault="0024435D"/>
    <w:p w14:paraId="3DE77216" w14:textId="77777777" w:rsidR="0024435D" w:rsidRDefault="0024435D"/>
    <w:p w14:paraId="73108C9B" w14:textId="77777777" w:rsidR="0024435D" w:rsidRDefault="007F2221">
      <w:r>
        <w:br w:type="page"/>
      </w:r>
    </w:p>
    <w:p w14:paraId="5CEF159C" w14:textId="77777777" w:rsidR="0024435D" w:rsidRDefault="0024435D"/>
    <w:p w14:paraId="5B1CF2E3" w14:textId="77777777" w:rsidR="0024435D" w:rsidRDefault="0024435D"/>
    <w:sectPr w:rsidR="0024435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5D"/>
    <w:rsid w:val="0024435D"/>
    <w:rsid w:val="007F2221"/>
    <w:rsid w:val="00C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8216"/>
  <w15:docId w15:val="{8AE373AA-EB2B-433A-8138-D34DF89E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center" w:pos="3240"/>
        <w:tab w:val="right" w:pos="7110"/>
      </w:tabs>
      <w:spacing w:line="240" w:lineRule="auto"/>
      <w:ind w:left="90" w:right="9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d7p2vqeGV9ur1YGyy7Ut29j8A==">CgMxLjAyCGguZ2pkZ3hzOAByITFma0poc3dtSjM4RzZEZzE3QUQyWVdaTXJLYWg1eE5qZw==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 Barrett</dc:creator>
  <cp:lastModifiedBy>Julika Barrett</cp:lastModifiedBy>
  <cp:revision>2</cp:revision>
  <dcterms:created xsi:type="dcterms:W3CDTF">2024-06-18T17:13:00Z</dcterms:created>
  <dcterms:modified xsi:type="dcterms:W3CDTF">2024-06-18T17:13:00Z</dcterms:modified>
</cp:coreProperties>
</file>