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04498" w14:textId="6FA9381B" w:rsidR="00C02AFC" w:rsidRPr="00176475" w:rsidRDefault="00C02AFC" w:rsidP="00176475">
      <w:pPr>
        <w:jc w:val="center"/>
        <w:rPr>
          <w:b/>
          <w:sz w:val="28"/>
          <w:szCs w:val="28"/>
        </w:rPr>
      </w:pPr>
      <w:r w:rsidRPr="00176475">
        <w:rPr>
          <w:b/>
          <w:sz w:val="28"/>
          <w:szCs w:val="28"/>
        </w:rPr>
        <w:t>501(c</w:t>
      </w:r>
      <w:proofErr w:type="gramStart"/>
      <w:r w:rsidRPr="00176475">
        <w:rPr>
          <w:b/>
          <w:sz w:val="28"/>
          <w:szCs w:val="28"/>
        </w:rPr>
        <w:t>)(</w:t>
      </w:r>
      <w:proofErr w:type="gramEnd"/>
      <w:r w:rsidRPr="00176475">
        <w:rPr>
          <w:b/>
          <w:sz w:val="28"/>
          <w:szCs w:val="28"/>
        </w:rPr>
        <w:t xml:space="preserve">3) – To Be or Not </w:t>
      </w:r>
      <w:r w:rsidR="00176475">
        <w:rPr>
          <w:b/>
          <w:sz w:val="28"/>
          <w:szCs w:val="28"/>
        </w:rPr>
        <w:t>T</w:t>
      </w:r>
      <w:r w:rsidR="00176475" w:rsidRPr="00176475">
        <w:rPr>
          <w:b/>
          <w:sz w:val="28"/>
          <w:szCs w:val="28"/>
        </w:rPr>
        <w:t>o</w:t>
      </w:r>
      <w:r w:rsidRPr="00176475">
        <w:rPr>
          <w:b/>
          <w:sz w:val="28"/>
          <w:szCs w:val="28"/>
        </w:rPr>
        <w:t xml:space="preserve"> Be</w:t>
      </w:r>
    </w:p>
    <w:p w14:paraId="49245FB3" w14:textId="30B0A4DD" w:rsidR="00C02AFC" w:rsidRDefault="00240F29" w:rsidP="00AF2D43">
      <w:pPr>
        <w:jc w:val="center"/>
        <w:rPr>
          <w:b/>
        </w:rPr>
      </w:pPr>
      <w:r w:rsidRPr="00AF2D43">
        <w:rPr>
          <w:b/>
        </w:rPr>
        <w:t>Roberta Schmalz</w:t>
      </w:r>
      <w:r>
        <w:rPr>
          <w:b/>
        </w:rPr>
        <w:t>, Finance Committee</w:t>
      </w:r>
    </w:p>
    <w:p w14:paraId="03B1835D" w14:textId="7FBEBA42" w:rsidR="00240F29" w:rsidRPr="00AF2D43" w:rsidRDefault="00A666BE" w:rsidP="00AF2D43">
      <w:pPr>
        <w:jc w:val="center"/>
        <w:rPr>
          <w:b/>
        </w:rPr>
      </w:pPr>
      <w:r>
        <w:rPr>
          <w:b/>
        </w:rPr>
        <w:t>May</w:t>
      </w:r>
      <w:r w:rsidR="00240F29">
        <w:rPr>
          <w:b/>
        </w:rPr>
        <w:t xml:space="preserve"> 2021</w:t>
      </w:r>
    </w:p>
    <w:p w14:paraId="13781FC3" w14:textId="77777777" w:rsidR="009842FA" w:rsidRDefault="002B410D" w:rsidP="002B410D">
      <w:r>
        <w:t xml:space="preserve">A recent survey of California branches pointed out the variety of structures within which </w:t>
      </w:r>
      <w:r w:rsidR="00017EBB">
        <w:t>our</w:t>
      </w:r>
      <w:r>
        <w:t xml:space="preserve"> branches operate. This article highlight</w:t>
      </w:r>
      <w:r w:rsidR="0092087F">
        <w:t>s</w:t>
      </w:r>
      <w:r>
        <w:t xml:space="preserve"> the pros and cons of the choices available to </w:t>
      </w:r>
      <w:r w:rsidR="001068E3">
        <w:t xml:space="preserve">California </w:t>
      </w:r>
      <w:r>
        <w:t>AAUW branches</w:t>
      </w:r>
      <w:r w:rsidR="001068E3">
        <w:t>.</w:t>
      </w:r>
      <w:r>
        <w:t xml:space="preserve"> </w:t>
      </w:r>
      <w:r w:rsidR="0091268C" w:rsidRPr="00176475">
        <w:t>Your branch may be incorporated or not.</w:t>
      </w:r>
      <w:r w:rsidR="0091268C">
        <w:t xml:space="preserve"> Your branch may be granted tax exempt status under sections 501</w:t>
      </w:r>
      <w:r w:rsidR="00017EBB">
        <w:t>(c</w:t>
      </w:r>
      <w:proofErr w:type="gramStart"/>
      <w:r w:rsidR="0092087F">
        <w:t>)</w:t>
      </w:r>
      <w:r w:rsidR="0091268C">
        <w:t>(</w:t>
      </w:r>
      <w:proofErr w:type="gramEnd"/>
      <w:r w:rsidR="0091268C">
        <w:t>3) or 501</w:t>
      </w:r>
      <w:r w:rsidR="00017EBB">
        <w:t>(c)</w:t>
      </w:r>
      <w:r w:rsidR="0091268C">
        <w:t>(4) of the internal revenue code.</w:t>
      </w:r>
      <w:r w:rsidR="004350EA" w:rsidRPr="004350EA">
        <w:t xml:space="preserve"> </w:t>
      </w:r>
      <w:r w:rsidR="004350EA">
        <w:t>The information contained herein is just that – info only and not a recommendation for action. Branches should think long and hard with full understanding of the cost and time commitment before making any changes to their structure.</w:t>
      </w:r>
      <w:r w:rsidR="0091268C">
        <w:t xml:space="preserve"> </w:t>
      </w:r>
      <w:r>
        <w:t xml:space="preserve">Before </w:t>
      </w:r>
      <w:r w:rsidR="0091268C">
        <w:t xml:space="preserve">plunging into the pros and cons of the various options you need to know what </w:t>
      </w:r>
      <w:r w:rsidR="00017EBB">
        <w:t>your branch is.</w:t>
      </w:r>
      <w:r>
        <w:t xml:space="preserve"> </w:t>
      </w:r>
    </w:p>
    <w:p w14:paraId="02672521" w14:textId="77777777" w:rsidR="001068E3" w:rsidRDefault="001068E3" w:rsidP="00D07108">
      <w:pPr>
        <w:pBdr>
          <w:top w:val="single" w:sz="4" w:space="1" w:color="auto"/>
          <w:left w:val="single" w:sz="4" w:space="4" w:color="auto"/>
          <w:bottom w:val="single" w:sz="4" w:space="1" w:color="auto"/>
          <w:right w:val="single" w:sz="4" w:space="4" w:color="auto"/>
        </w:pBdr>
        <w:jc w:val="center"/>
      </w:pPr>
      <w:r w:rsidRPr="001068E3">
        <w:rPr>
          <w:b/>
        </w:rPr>
        <w:t xml:space="preserve">What are </w:t>
      </w:r>
      <w:r w:rsidR="00D07108">
        <w:rPr>
          <w:b/>
        </w:rPr>
        <w:t>Y</w:t>
      </w:r>
      <w:r w:rsidRPr="001068E3">
        <w:rPr>
          <w:b/>
        </w:rPr>
        <w:t>ou?</w:t>
      </w:r>
    </w:p>
    <w:p w14:paraId="4A0819B0" w14:textId="1881AE7D" w:rsidR="0091268C" w:rsidRDefault="00D07108" w:rsidP="001068E3">
      <w:pPr>
        <w:pBdr>
          <w:top w:val="single" w:sz="4" w:space="1" w:color="auto"/>
          <w:left w:val="single" w:sz="4" w:space="4" w:color="auto"/>
          <w:bottom w:val="single" w:sz="4" w:space="1" w:color="auto"/>
          <w:right w:val="single" w:sz="4" w:space="4" w:color="auto"/>
        </w:pBdr>
      </w:pPr>
      <w:r>
        <w:t>Board members change frequently</w:t>
      </w:r>
      <w:r w:rsidR="0091268C">
        <w:t xml:space="preserve">. If you inherited your jobs but have no idea what has been done in the past, searching the federal (IRS) data base of </w:t>
      </w:r>
      <w:r w:rsidR="00080D8A">
        <w:t>nonprofits</w:t>
      </w:r>
      <w:r w:rsidR="0091268C">
        <w:t xml:space="preserve"> will be illuminating.</w:t>
      </w:r>
    </w:p>
    <w:p w14:paraId="33CE3F58" w14:textId="5D4AC595" w:rsidR="0091268C" w:rsidRDefault="0091268C" w:rsidP="001068E3">
      <w:pPr>
        <w:pBdr>
          <w:top w:val="single" w:sz="4" w:space="1" w:color="auto"/>
          <w:left w:val="single" w:sz="4" w:space="4" w:color="auto"/>
          <w:bottom w:val="single" w:sz="4" w:space="1" w:color="auto"/>
          <w:right w:val="single" w:sz="4" w:space="4" w:color="auto"/>
        </w:pBdr>
      </w:pPr>
      <w:r>
        <w:t xml:space="preserve">To search </w:t>
      </w:r>
      <w:r w:rsidR="006E2E6E">
        <w:t>the IRS</w:t>
      </w:r>
      <w:r>
        <w:t xml:space="preserve"> data base go to </w:t>
      </w:r>
      <w:hyperlink r:id="rId6" w:history="1">
        <w:r w:rsidRPr="00210B46">
          <w:rPr>
            <w:rStyle w:val="Hyperlink"/>
          </w:rPr>
          <w:t>https://apps.irs.gov/app/eos/</w:t>
        </w:r>
      </w:hyperlink>
      <w:r>
        <w:t xml:space="preserve"> in your browser. </w:t>
      </w:r>
      <w:r w:rsidR="00673C12">
        <w:t>Enter your Federal EIN (XX-XXXXXXX) without the dash. First “Search All” to determine that you are using the correct EIN. To find out if you have been granted 501</w:t>
      </w:r>
      <w:r w:rsidR="00017EBB">
        <w:t>(c)(</w:t>
      </w:r>
      <w:r w:rsidR="00673C12">
        <w:t xml:space="preserve">3) status, enter “Pub 78 Data” under select database. </w:t>
      </w:r>
      <w:r w:rsidR="00017EBB">
        <w:t xml:space="preserve">If your branch has been granted the designation as a 501(c)(3) organization, your branch name will show up </w:t>
      </w:r>
      <w:r w:rsidR="002E3C6E">
        <w:t>because of</w:t>
      </w:r>
      <w:r w:rsidR="00017EBB">
        <w:t xml:space="preserve"> your search. </w:t>
      </w:r>
      <w:r w:rsidR="002E3C6E">
        <w:t xml:space="preserve">Note that any organization that has </w:t>
      </w:r>
      <w:r w:rsidR="002E3C6E" w:rsidRPr="00176475">
        <w:rPr>
          <w:u w:val="single"/>
        </w:rPr>
        <w:t>gross</w:t>
      </w:r>
      <w:r w:rsidR="002E3C6E">
        <w:t xml:space="preserve"> receipts in each taxable year of normally not more than $5,000 need not file Form 1023 for recognition of exemption under Internal Revenue Code (IRC) Sec. 501(c)(3). </w:t>
      </w:r>
    </w:p>
    <w:p w14:paraId="0A60EB9D" w14:textId="77777777" w:rsidR="001068E3" w:rsidRDefault="001068E3" w:rsidP="002B410D"/>
    <w:p w14:paraId="433B94F1" w14:textId="77777777" w:rsidR="00017EBB" w:rsidRPr="00505558" w:rsidRDefault="00017EBB" w:rsidP="00D07108">
      <w:pPr>
        <w:pBdr>
          <w:top w:val="single" w:sz="4" w:space="1" w:color="auto"/>
          <w:left w:val="single" w:sz="4" w:space="4" w:color="auto"/>
          <w:bottom w:val="single" w:sz="4" w:space="1" w:color="auto"/>
          <w:right w:val="single" w:sz="4" w:space="4" w:color="auto"/>
        </w:pBdr>
        <w:jc w:val="center"/>
        <w:rPr>
          <w:b/>
        </w:rPr>
      </w:pPr>
      <w:r w:rsidRPr="00505558">
        <w:rPr>
          <w:b/>
        </w:rPr>
        <w:t xml:space="preserve">Basic </w:t>
      </w:r>
      <w:r w:rsidR="00D07108">
        <w:rPr>
          <w:b/>
        </w:rPr>
        <w:t>T</w:t>
      </w:r>
      <w:r w:rsidRPr="00505558">
        <w:rPr>
          <w:b/>
        </w:rPr>
        <w:t xml:space="preserve">erms </w:t>
      </w:r>
    </w:p>
    <w:p w14:paraId="5FCDB026" w14:textId="0581DF07" w:rsidR="002B410D" w:rsidRDefault="002B410D" w:rsidP="00505558">
      <w:pPr>
        <w:pBdr>
          <w:top w:val="single" w:sz="4" w:space="1" w:color="auto"/>
          <w:left w:val="single" w:sz="4" w:space="4" w:color="auto"/>
          <w:bottom w:val="single" w:sz="4" w:space="1" w:color="auto"/>
          <w:right w:val="single" w:sz="4" w:space="4" w:color="auto"/>
        </w:pBdr>
      </w:pPr>
      <w:r>
        <w:t xml:space="preserve">IRC Sec. </w:t>
      </w:r>
      <w:r w:rsidRPr="00BF1876">
        <w:rPr>
          <w:b/>
        </w:rPr>
        <w:t>501(c)(3)</w:t>
      </w:r>
      <w:r>
        <w:t xml:space="preserve"> and</w:t>
      </w:r>
      <w:r w:rsidR="00BF1876">
        <w:t xml:space="preserve"> </w:t>
      </w:r>
      <w:r w:rsidR="00BF1876" w:rsidRPr="00BF1876">
        <w:rPr>
          <w:b/>
        </w:rPr>
        <w:t>501</w:t>
      </w:r>
      <w:r w:rsidRPr="00BF1876">
        <w:rPr>
          <w:b/>
        </w:rPr>
        <w:t>(c)(4)</w:t>
      </w:r>
      <w:r>
        <w:t xml:space="preserve"> are two sections of the internal revenue code that provide </w:t>
      </w:r>
      <w:r w:rsidR="00A31F27">
        <w:t xml:space="preserve">for exemption from federal income tax in most circumstances. </w:t>
      </w:r>
      <w:r w:rsidR="00482DE4">
        <w:t xml:space="preserve">Branches acquire </w:t>
      </w:r>
      <w:r w:rsidR="00482DE4" w:rsidRPr="00BF1876">
        <w:rPr>
          <w:b/>
        </w:rPr>
        <w:t>501(c)(4)</w:t>
      </w:r>
      <w:r w:rsidR="00482DE4">
        <w:t xml:space="preserve"> status as affiliates of AAUW </w:t>
      </w:r>
      <w:r w:rsidR="009761AD">
        <w:t>national but</w:t>
      </w:r>
      <w:r w:rsidR="00482DE4">
        <w:t xml:space="preserve"> may choose to change to </w:t>
      </w:r>
      <w:r w:rsidR="00482DE4" w:rsidRPr="00BF1876">
        <w:rPr>
          <w:b/>
        </w:rPr>
        <w:t>501(c)(3)</w:t>
      </w:r>
      <w:r w:rsidR="00482DE4">
        <w:rPr>
          <w:b/>
        </w:rPr>
        <w:t>.</w:t>
      </w:r>
    </w:p>
    <w:p w14:paraId="70EB9065" w14:textId="188AD8AC" w:rsidR="00505558" w:rsidRDefault="00BF1876" w:rsidP="00505558">
      <w:pPr>
        <w:pBdr>
          <w:top w:val="single" w:sz="4" w:space="1" w:color="auto"/>
          <w:left w:val="single" w:sz="4" w:space="4" w:color="auto"/>
          <w:bottom w:val="single" w:sz="4" w:space="1" w:color="auto"/>
          <w:right w:val="single" w:sz="4" w:space="4" w:color="auto"/>
        </w:pBdr>
      </w:pPr>
      <w:r>
        <w:t>T</w:t>
      </w:r>
      <w:r w:rsidR="00017EBB">
        <w:t xml:space="preserve">hose granted </w:t>
      </w:r>
      <w:r w:rsidRPr="00BF1876">
        <w:rPr>
          <w:b/>
        </w:rPr>
        <w:t>501(c)(3)</w:t>
      </w:r>
      <w:r>
        <w:t xml:space="preserve"> </w:t>
      </w:r>
      <w:r w:rsidR="00017EBB">
        <w:t xml:space="preserve">status from the IRS </w:t>
      </w:r>
      <w:r w:rsidR="00730611">
        <w:t>can</w:t>
      </w:r>
      <w:r w:rsidR="00017EBB">
        <w:t xml:space="preserve"> accept </w:t>
      </w:r>
      <w:r>
        <w:t xml:space="preserve">tax deductible contributions. </w:t>
      </w:r>
      <w:r w:rsidR="00E17655">
        <w:t>If a branch successfully applies for IRC Sec. 501(c)(3) status, the IRS will issue a determination letter</w:t>
      </w:r>
      <w:r w:rsidR="00385100">
        <w:t xml:space="preserve"> that grants such status</w:t>
      </w:r>
      <w:r w:rsidR="00E17655">
        <w:t xml:space="preserve">. </w:t>
      </w:r>
      <w:r w:rsidR="00505558">
        <w:t xml:space="preserve"> Do not be confused by the notation at the top right of the letter indicating Public Charity Status: </w:t>
      </w:r>
      <w:r w:rsidR="00505558" w:rsidRPr="00505558">
        <w:rPr>
          <w:b/>
        </w:rPr>
        <w:t>509(a)(2)</w:t>
      </w:r>
      <w:r w:rsidR="00505558">
        <w:t>.</w:t>
      </w:r>
    </w:p>
    <w:p w14:paraId="2BE5AD0A" w14:textId="7F528F46" w:rsidR="00AC3A52" w:rsidRDefault="00AC3A52" w:rsidP="00505558">
      <w:pPr>
        <w:pBdr>
          <w:top w:val="single" w:sz="4" w:space="1" w:color="auto"/>
          <w:left w:val="single" w:sz="4" w:space="4" w:color="auto"/>
          <w:bottom w:val="single" w:sz="4" w:space="1" w:color="auto"/>
          <w:right w:val="single" w:sz="4" w:space="4" w:color="auto"/>
        </w:pBdr>
      </w:pPr>
      <w:r>
        <w:t xml:space="preserve">The AAUW California Special Projects Fund (SPF) is a separate 501(c)(3) corporation that can serve as the non-profit fiduciary agent for approved state and branch projects. Programs/projects using SPF can accept tax-deductible contributions to support the programs/projects.  Please see </w:t>
      </w:r>
      <w:hyperlink r:id="rId7" w:history="1">
        <w:r>
          <w:rPr>
            <w:rStyle w:val="Hyperlink"/>
          </w:rPr>
          <w:t>https://specialprojectsfund-ca.aauw.net/</w:t>
        </w:r>
      </w:hyperlink>
      <w:r>
        <w:t xml:space="preserve"> for more information. </w:t>
      </w:r>
    </w:p>
    <w:p w14:paraId="244D0637" w14:textId="570CCCEC" w:rsidR="002B410D" w:rsidRPr="002B410D" w:rsidRDefault="00BF1876" w:rsidP="002B410D">
      <w:r>
        <w:t xml:space="preserve">Per the survey most California branches are 501(c)(4) organizations. However, about one-third responded that they had been granted 501(c)(3) status by the IRS. Of these, about one-third, responded that they were not incorporated. </w:t>
      </w:r>
      <w:r w:rsidRPr="00176475">
        <w:t xml:space="preserve">More on incorporation </w:t>
      </w:r>
      <w:r w:rsidRPr="00AC3A52">
        <w:t>later.</w:t>
      </w:r>
      <w:r w:rsidR="00AC3A52" w:rsidRPr="00AC3A52">
        <w:t xml:space="preserve"> </w:t>
      </w:r>
      <w:r w:rsidRPr="00AC3A52">
        <w:t>So, for</w:t>
      </w:r>
      <w:r>
        <w:t xml:space="preserve"> most branches </w:t>
      </w:r>
      <w:r w:rsidR="00AC3A52">
        <w:t xml:space="preserve">. . . </w:t>
      </w:r>
    </w:p>
    <w:p w14:paraId="39F435DC" w14:textId="5D897C2E" w:rsidR="0014346B" w:rsidRPr="00683DC7" w:rsidRDefault="00AC3A52">
      <w:pPr>
        <w:rPr>
          <w:b/>
          <w:sz w:val="32"/>
          <w:szCs w:val="32"/>
        </w:rPr>
      </w:pPr>
      <w:r>
        <w:rPr>
          <w:b/>
          <w:sz w:val="32"/>
          <w:szCs w:val="32"/>
        </w:rPr>
        <w:lastRenderedPageBreak/>
        <w:t xml:space="preserve">The </w:t>
      </w:r>
      <w:r w:rsidR="00683DC7" w:rsidRPr="00683DC7">
        <w:rPr>
          <w:b/>
          <w:sz w:val="32"/>
          <w:szCs w:val="32"/>
        </w:rPr>
        <w:t xml:space="preserve">Choices are – </w:t>
      </w:r>
    </w:p>
    <w:p w14:paraId="68C31681" w14:textId="15B5F764" w:rsidR="00683DC7" w:rsidRDefault="00683DC7" w:rsidP="00683DC7">
      <w:pPr>
        <w:pStyle w:val="ListParagraph"/>
        <w:numPr>
          <w:ilvl w:val="0"/>
          <w:numId w:val="1"/>
        </w:numPr>
      </w:pPr>
      <w:r>
        <w:t>Continue as a 501</w:t>
      </w:r>
      <w:r w:rsidR="00240BF2">
        <w:t>(c)(4)</w:t>
      </w:r>
      <w:r>
        <w:t xml:space="preserve"> organization</w:t>
      </w:r>
      <w:r w:rsidR="005F4E32">
        <w:t>.</w:t>
      </w:r>
    </w:p>
    <w:p w14:paraId="1F434E0C" w14:textId="00E08123" w:rsidR="00683DC7" w:rsidRDefault="00683DC7" w:rsidP="00683DC7">
      <w:pPr>
        <w:pStyle w:val="ListParagraph"/>
        <w:numPr>
          <w:ilvl w:val="0"/>
          <w:numId w:val="1"/>
        </w:numPr>
      </w:pPr>
      <w:r>
        <w:t>Change to a 501</w:t>
      </w:r>
      <w:r w:rsidR="00240BF2">
        <w:t xml:space="preserve">(c)(3) </w:t>
      </w:r>
      <w:r>
        <w:t>organization</w:t>
      </w:r>
      <w:r w:rsidR="005F4E32">
        <w:t>.</w:t>
      </w:r>
      <w:r>
        <w:t xml:space="preserve"> </w:t>
      </w:r>
    </w:p>
    <w:p w14:paraId="7415ED82" w14:textId="3FC6CBF8" w:rsidR="00683DC7" w:rsidRDefault="00683DC7" w:rsidP="00683DC7">
      <w:pPr>
        <w:pStyle w:val="ListParagraph"/>
        <w:numPr>
          <w:ilvl w:val="0"/>
          <w:numId w:val="1"/>
        </w:numPr>
      </w:pPr>
      <w:r>
        <w:t xml:space="preserve">Form </w:t>
      </w:r>
      <w:r w:rsidR="00505558">
        <w:t xml:space="preserve">a </w:t>
      </w:r>
      <w:r>
        <w:t>501</w:t>
      </w:r>
      <w:r w:rsidR="00240BF2">
        <w:t>(c)(3)</w:t>
      </w:r>
      <w:r>
        <w:t xml:space="preserve"> organization in addition to </w:t>
      </w:r>
      <w:r w:rsidR="00505558">
        <w:t>your</w:t>
      </w:r>
      <w:r>
        <w:t xml:space="preserve"> current 501</w:t>
      </w:r>
      <w:r w:rsidR="0044437D">
        <w:t>(c)</w:t>
      </w:r>
      <w:r>
        <w:t>4 organization</w:t>
      </w:r>
      <w:r w:rsidR="005F4E32">
        <w:t>.</w:t>
      </w:r>
    </w:p>
    <w:p w14:paraId="08459B8D" w14:textId="4BE3EA71" w:rsidR="00683DC7" w:rsidRDefault="00683DC7" w:rsidP="00683DC7">
      <w:r w:rsidRPr="00683DC7">
        <w:rPr>
          <w:b/>
          <w:sz w:val="28"/>
          <w:szCs w:val="28"/>
        </w:rPr>
        <w:t>Continue as a 501</w:t>
      </w:r>
      <w:r w:rsidR="00240BF2">
        <w:rPr>
          <w:b/>
          <w:sz w:val="28"/>
          <w:szCs w:val="28"/>
        </w:rPr>
        <w:t>(c)(4)</w:t>
      </w:r>
      <w:r w:rsidRPr="00683DC7">
        <w:rPr>
          <w:b/>
          <w:sz w:val="28"/>
          <w:szCs w:val="28"/>
        </w:rPr>
        <w:t xml:space="preserve"> Organization</w:t>
      </w:r>
      <w:r>
        <w:t xml:space="preserve"> – </w:t>
      </w:r>
      <w:r w:rsidR="00505558">
        <w:t>C</w:t>
      </w:r>
      <w:r>
        <w:t xml:space="preserve">ontinue to serve as a conduit </w:t>
      </w:r>
      <w:r w:rsidR="00AC3A52">
        <w:t xml:space="preserve">for </w:t>
      </w:r>
      <w:r w:rsidR="002E3C6E">
        <w:t xml:space="preserve">tax deductible contributions </w:t>
      </w:r>
      <w:r w:rsidR="00AC3A52">
        <w:t>to</w:t>
      </w:r>
      <w:r>
        <w:t xml:space="preserve"> </w:t>
      </w:r>
      <w:r w:rsidR="00AC3A52">
        <w:t xml:space="preserve">various AAUW based programs/projects </w:t>
      </w:r>
      <w:r>
        <w:t xml:space="preserve">by </w:t>
      </w:r>
      <w:r w:rsidR="00B31681">
        <w:t xml:space="preserve">having </w:t>
      </w:r>
      <w:r w:rsidR="00482DE4">
        <w:t xml:space="preserve">contributions </w:t>
      </w:r>
      <w:r w:rsidR="00B31681">
        <w:t>made directly</w:t>
      </w:r>
      <w:r>
        <w:t xml:space="preserve"> to them. </w:t>
      </w:r>
    </w:p>
    <w:p w14:paraId="716D257E" w14:textId="77777777" w:rsidR="00683DC7" w:rsidRPr="00683DC7" w:rsidRDefault="00683DC7" w:rsidP="00683DC7">
      <w:pPr>
        <w:rPr>
          <w:b/>
        </w:rPr>
      </w:pPr>
      <w:r w:rsidRPr="00683DC7">
        <w:rPr>
          <w:b/>
        </w:rPr>
        <w:t xml:space="preserve">Pro – </w:t>
      </w:r>
    </w:p>
    <w:p w14:paraId="03445899" w14:textId="77777777" w:rsidR="00683DC7" w:rsidRDefault="00683DC7" w:rsidP="00683DC7">
      <w:pPr>
        <w:pStyle w:val="ListParagraph"/>
        <w:numPr>
          <w:ilvl w:val="0"/>
          <w:numId w:val="2"/>
        </w:numPr>
      </w:pPr>
      <w:r>
        <w:t>No change is necessary</w:t>
      </w:r>
      <w:r w:rsidR="00394B2A">
        <w:t xml:space="preserve"> and there is no expense</w:t>
      </w:r>
      <w:r w:rsidR="009A7047">
        <w:t>.</w:t>
      </w:r>
    </w:p>
    <w:p w14:paraId="7007A8F1" w14:textId="57D3240D" w:rsidR="00425979" w:rsidRDefault="00425979" w:rsidP="00D07108">
      <w:pPr>
        <w:pStyle w:val="ListParagraph"/>
        <w:numPr>
          <w:ilvl w:val="0"/>
          <w:numId w:val="2"/>
        </w:numPr>
      </w:pPr>
      <w:r>
        <w:t xml:space="preserve">More freedom to engage in </w:t>
      </w:r>
      <w:r w:rsidR="00E17655" w:rsidRPr="00AF2D43">
        <w:t>legislative activities</w:t>
      </w:r>
      <w:r w:rsidR="00C85751" w:rsidRPr="00AF2D43">
        <w:t xml:space="preserve"> (lobbying) </w:t>
      </w:r>
      <w:r w:rsidR="0051009C" w:rsidRPr="00AF2D43">
        <w:t>(</w:t>
      </w:r>
      <w:r w:rsidR="0051009C">
        <w:t xml:space="preserve">see </w:t>
      </w:r>
      <w:r w:rsidR="00E17655">
        <w:rPr>
          <w:b/>
        </w:rPr>
        <w:t>discussion at end)</w:t>
      </w:r>
      <w:r w:rsidR="009A7047">
        <w:rPr>
          <w:b/>
        </w:rPr>
        <w:t>.</w:t>
      </w:r>
      <w:r w:rsidR="00E17655">
        <w:rPr>
          <w:b/>
        </w:rPr>
        <w:t xml:space="preserve"> </w:t>
      </w:r>
    </w:p>
    <w:p w14:paraId="70E90AB4" w14:textId="6194EE77" w:rsidR="00CA3FB1" w:rsidRDefault="00853A6D" w:rsidP="00425979">
      <w:pPr>
        <w:pStyle w:val="ListParagraph"/>
        <w:numPr>
          <w:ilvl w:val="0"/>
          <w:numId w:val="2"/>
        </w:numPr>
      </w:pPr>
      <w:r>
        <w:t xml:space="preserve">Branches </w:t>
      </w:r>
      <w:r w:rsidR="00505558">
        <w:t>may be</w:t>
      </w:r>
      <w:r w:rsidR="00CA3FB1">
        <w:t xml:space="preserve"> able to direct scholarships locally </w:t>
      </w:r>
      <w:r>
        <w:t xml:space="preserve">with tax deductions for donors </w:t>
      </w:r>
      <w:r w:rsidR="00CA3FB1">
        <w:t xml:space="preserve">due </w:t>
      </w:r>
      <w:r w:rsidR="00482DE4">
        <w:t xml:space="preserve">to </w:t>
      </w:r>
      <w:r w:rsidR="00505558">
        <w:t xml:space="preserve">a relationship with a local </w:t>
      </w:r>
      <w:r w:rsidR="00802868">
        <w:t>college</w:t>
      </w:r>
      <w:r>
        <w:t xml:space="preserve"> if contributions are made directly to the college.</w:t>
      </w:r>
    </w:p>
    <w:p w14:paraId="374C948D" w14:textId="195E7440" w:rsidR="004350EA" w:rsidRDefault="00853A6D" w:rsidP="004350EA">
      <w:pPr>
        <w:pStyle w:val="ListParagraph"/>
        <w:numPr>
          <w:ilvl w:val="0"/>
          <w:numId w:val="2"/>
        </w:numPr>
        <w:spacing w:after="200" w:line="276" w:lineRule="auto"/>
      </w:pPr>
      <w:r>
        <w:t>Branches</w:t>
      </w:r>
      <w:r w:rsidR="004350EA">
        <w:t xml:space="preserve"> can continue to raise funds for Tech Trek with tax deductions for donors </w:t>
      </w:r>
      <w:r w:rsidR="00802868">
        <w:t>if</w:t>
      </w:r>
      <w:r w:rsidR="004350EA">
        <w:t xml:space="preserve"> those funds are sent directly to the SPF for Tech Trek</w:t>
      </w:r>
      <w:r w:rsidR="009A7047">
        <w:t>.</w:t>
      </w:r>
    </w:p>
    <w:p w14:paraId="0FEBB420" w14:textId="0B4B44A4" w:rsidR="004350EA" w:rsidRDefault="00853A6D" w:rsidP="004350EA">
      <w:pPr>
        <w:pStyle w:val="ListParagraph"/>
        <w:numPr>
          <w:ilvl w:val="0"/>
          <w:numId w:val="2"/>
        </w:numPr>
        <w:spacing w:after="200" w:line="276" w:lineRule="auto"/>
      </w:pPr>
      <w:r>
        <w:t>Branches</w:t>
      </w:r>
      <w:r w:rsidR="004350EA">
        <w:t xml:space="preserve"> can </w:t>
      </w:r>
      <w:r w:rsidR="009A7047">
        <w:t>continue</w:t>
      </w:r>
      <w:r w:rsidR="004350EA">
        <w:t xml:space="preserve"> to raise funds for AAUW Funds with tax deductions for donors if funds collected by the branch are forwarded to AAUW Funds because </w:t>
      </w:r>
      <w:r w:rsidR="00802868">
        <w:t xml:space="preserve">all branches are affiliates of </w:t>
      </w:r>
      <w:r w:rsidR="004350EA">
        <w:t xml:space="preserve">the national AAUW organization </w:t>
      </w:r>
      <w:r w:rsidR="00802868">
        <w:t xml:space="preserve">which </w:t>
      </w:r>
      <w:r w:rsidR="004350EA">
        <w:t>is a 501(c</w:t>
      </w:r>
      <w:proofErr w:type="gramStart"/>
      <w:r w:rsidR="004350EA">
        <w:t>)(</w:t>
      </w:r>
      <w:proofErr w:type="gramEnd"/>
      <w:r w:rsidR="004350EA">
        <w:t>3) public charity</w:t>
      </w:r>
      <w:r w:rsidR="009761AD">
        <w:t>. S</w:t>
      </w:r>
      <w:r w:rsidR="004350EA" w:rsidRPr="00F22620">
        <w:t>aving donated funds from o</w:t>
      </w:r>
      <w:r w:rsidR="001259AE">
        <w:t>n</w:t>
      </w:r>
      <w:r w:rsidR="004350EA" w:rsidRPr="00F22620">
        <w:t>e year to another before forwarding to AAUW is not allowed by IRS regulations</w:t>
      </w:r>
      <w:r w:rsidR="009A7047">
        <w:t>.</w:t>
      </w:r>
    </w:p>
    <w:p w14:paraId="6069ED5D" w14:textId="5B78E48D" w:rsidR="004350EA" w:rsidRDefault="00853A6D" w:rsidP="004350EA">
      <w:pPr>
        <w:pStyle w:val="ListParagraph"/>
        <w:numPr>
          <w:ilvl w:val="0"/>
          <w:numId w:val="2"/>
        </w:numPr>
        <w:spacing w:after="200" w:line="276" w:lineRule="auto"/>
      </w:pPr>
      <w:r>
        <w:t>Branches</w:t>
      </w:r>
      <w:r w:rsidR="004350EA">
        <w:t xml:space="preserve"> can solicit tax deductible contributions for a special </w:t>
      </w:r>
      <w:r w:rsidR="00802868">
        <w:t>mission-based</w:t>
      </w:r>
      <w:r w:rsidR="004350EA">
        <w:t xml:space="preserve"> project if the project is accepted by AAUW CA SPF </w:t>
      </w:r>
      <w:r w:rsidR="00802868">
        <w:t>if the funds are sent from the donors to the SPF.</w:t>
      </w:r>
      <w:r w:rsidR="009761AD">
        <w:t xml:space="preserve"> The SPF (including Tech Trek) withholds 5% of </w:t>
      </w:r>
      <w:r w:rsidR="00C7263D">
        <w:t xml:space="preserve">gross </w:t>
      </w:r>
      <w:r w:rsidR="009761AD">
        <w:t>funds raised for SPF operating costs.</w:t>
      </w:r>
    </w:p>
    <w:p w14:paraId="5D796E7A" w14:textId="77777777" w:rsidR="00683DC7" w:rsidRPr="00683DC7" w:rsidRDefault="00683DC7" w:rsidP="00683DC7">
      <w:pPr>
        <w:rPr>
          <w:b/>
        </w:rPr>
      </w:pPr>
      <w:r w:rsidRPr="00683DC7">
        <w:rPr>
          <w:b/>
        </w:rPr>
        <w:t xml:space="preserve">Con – </w:t>
      </w:r>
    </w:p>
    <w:p w14:paraId="16901A43" w14:textId="77777777" w:rsidR="00683DC7" w:rsidRDefault="000836BF" w:rsidP="00683DC7">
      <w:pPr>
        <w:pStyle w:val="ListParagraph"/>
        <w:numPr>
          <w:ilvl w:val="0"/>
          <w:numId w:val="2"/>
        </w:numPr>
      </w:pPr>
      <w:r>
        <w:t>Donations to the branch</w:t>
      </w:r>
      <w:r w:rsidR="00683DC7">
        <w:t xml:space="preserve"> </w:t>
      </w:r>
      <w:r>
        <w:t xml:space="preserve">to conduct </w:t>
      </w:r>
      <w:r w:rsidR="00385100">
        <w:t xml:space="preserve">other projects </w:t>
      </w:r>
      <w:r w:rsidR="00683DC7">
        <w:t>are not deductible as charitable donations</w:t>
      </w:r>
      <w:r w:rsidR="009A7047">
        <w:t>.</w:t>
      </w:r>
    </w:p>
    <w:p w14:paraId="314C2AF2" w14:textId="25AA24B3" w:rsidR="00683DC7" w:rsidRDefault="009761AD" w:rsidP="00683DC7">
      <w:pPr>
        <w:pStyle w:val="ListParagraph"/>
        <w:numPr>
          <w:ilvl w:val="0"/>
          <w:numId w:val="2"/>
        </w:numPr>
      </w:pPr>
      <w:r>
        <w:t>Unreimbursed o</w:t>
      </w:r>
      <w:r w:rsidR="00683DC7">
        <w:t xml:space="preserve">ut of pocket expenses paid by members are </w:t>
      </w:r>
      <w:r w:rsidR="00853A6D">
        <w:t xml:space="preserve">generally </w:t>
      </w:r>
      <w:r w:rsidR="00683DC7">
        <w:t>not deductible</w:t>
      </w:r>
      <w:r w:rsidR="009A7047">
        <w:t>.</w:t>
      </w:r>
    </w:p>
    <w:p w14:paraId="52185F01" w14:textId="77777777" w:rsidR="000836BF" w:rsidRDefault="000836BF" w:rsidP="00683DC7">
      <w:pPr>
        <w:pStyle w:val="ListParagraph"/>
        <w:numPr>
          <w:ilvl w:val="0"/>
          <w:numId w:val="2"/>
        </w:numPr>
      </w:pPr>
      <w:r>
        <w:t>Branch membership dues are not deductible</w:t>
      </w:r>
      <w:r w:rsidR="009A7047">
        <w:t>.</w:t>
      </w:r>
    </w:p>
    <w:p w14:paraId="0C018215" w14:textId="48FA7C61" w:rsidR="00E61967" w:rsidRDefault="00E61967" w:rsidP="00683DC7">
      <w:pPr>
        <w:pStyle w:val="ListParagraph"/>
        <w:numPr>
          <w:ilvl w:val="0"/>
          <w:numId w:val="2"/>
        </w:numPr>
      </w:pPr>
      <w:r>
        <w:t>Lack of funds to cover operating expenses</w:t>
      </w:r>
      <w:r w:rsidR="000836BF">
        <w:t xml:space="preserve"> due to lack of tax deductibility of donations directly to </w:t>
      </w:r>
      <w:r w:rsidR="00853A6D">
        <w:t xml:space="preserve">a 501(c)(4) </w:t>
      </w:r>
      <w:r w:rsidR="000836BF">
        <w:t>branch</w:t>
      </w:r>
      <w:r w:rsidR="009A7047">
        <w:t>.</w:t>
      </w:r>
    </w:p>
    <w:p w14:paraId="528DC057" w14:textId="778582BB" w:rsidR="00683DC7" w:rsidRPr="00AF2D43" w:rsidRDefault="00683DC7" w:rsidP="00683DC7">
      <w:pPr>
        <w:rPr>
          <w:bCs/>
          <w:sz w:val="24"/>
          <w:szCs w:val="24"/>
        </w:rPr>
      </w:pPr>
      <w:r w:rsidRPr="00394B2A">
        <w:rPr>
          <w:b/>
          <w:sz w:val="28"/>
          <w:szCs w:val="28"/>
        </w:rPr>
        <w:t>Change to a 501</w:t>
      </w:r>
      <w:r w:rsidR="00240BF2">
        <w:rPr>
          <w:b/>
          <w:sz w:val="28"/>
          <w:szCs w:val="28"/>
        </w:rPr>
        <w:t>(c)(</w:t>
      </w:r>
      <w:r w:rsidRPr="00394B2A">
        <w:rPr>
          <w:b/>
          <w:sz w:val="28"/>
          <w:szCs w:val="28"/>
        </w:rPr>
        <w:t>3) Organization</w:t>
      </w:r>
      <w:r w:rsidR="00AF2D43">
        <w:rPr>
          <w:b/>
          <w:sz w:val="28"/>
          <w:szCs w:val="28"/>
        </w:rPr>
        <w:t xml:space="preserve"> </w:t>
      </w:r>
      <w:r w:rsidR="00AF2D43" w:rsidRPr="00AF2D43">
        <w:rPr>
          <w:bCs/>
          <w:sz w:val="24"/>
          <w:szCs w:val="24"/>
        </w:rPr>
        <w:t>(Must notify AAUW national and sign new affiliate agreement)</w:t>
      </w:r>
    </w:p>
    <w:p w14:paraId="2318B894" w14:textId="77777777" w:rsidR="0092087F" w:rsidRPr="001259AE" w:rsidRDefault="0092087F" w:rsidP="0092087F">
      <w:pPr>
        <w:rPr>
          <w:b/>
          <w:bCs/>
        </w:rPr>
      </w:pPr>
      <w:r w:rsidRPr="001259AE">
        <w:rPr>
          <w:b/>
          <w:bCs/>
        </w:rPr>
        <w:t xml:space="preserve">Pros – </w:t>
      </w:r>
    </w:p>
    <w:p w14:paraId="066DB99F" w14:textId="349FA983" w:rsidR="00683DC7" w:rsidRDefault="003F5FC6" w:rsidP="00B31681">
      <w:pPr>
        <w:pStyle w:val="ListParagraph"/>
        <w:numPr>
          <w:ilvl w:val="0"/>
          <w:numId w:val="13"/>
        </w:numPr>
        <w:spacing w:line="276" w:lineRule="auto"/>
      </w:pPr>
      <w:r>
        <w:t xml:space="preserve">Branch </w:t>
      </w:r>
      <w:r w:rsidR="005F4E32">
        <w:t>can</w:t>
      </w:r>
      <w:r w:rsidR="00683DC7">
        <w:t xml:space="preserve"> accept charitable donations (and </w:t>
      </w:r>
      <w:r w:rsidR="009F27EC">
        <w:t>per</w:t>
      </w:r>
      <w:r w:rsidR="00D07108">
        <w:t xml:space="preserve">haps </w:t>
      </w:r>
      <w:r w:rsidR="009F27EC">
        <w:t>increase donations</w:t>
      </w:r>
      <w:r w:rsidR="00683DC7">
        <w:t>)</w:t>
      </w:r>
      <w:r w:rsidR="009A7047">
        <w:t>.</w:t>
      </w:r>
      <w:r w:rsidR="00394B2A">
        <w:t xml:space="preserve"> </w:t>
      </w:r>
    </w:p>
    <w:p w14:paraId="3A76B08D" w14:textId="06B2EEAD" w:rsidR="00ED039A" w:rsidRDefault="003F5FC6" w:rsidP="00376040">
      <w:pPr>
        <w:pStyle w:val="ListParagraph"/>
        <w:numPr>
          <w:ilvl w:val="0"/>
          <w:numId w:val="13"/>
        </w:numPr>
        <w:spacing w:line="276" w:lineRule="auto"/>
      </w:pPr>
      <w:r>
        <w:t>Bran</w:t>
      </w:r>
      <w:r w:rsidR="00802868">
        <w:t>ch</w:t>
      </w:r>
      <w:r>
        <w:t xml:space="preserve"> </w:t>
      </w:r>
      <w:r w:rsidR="005F4E32">
        <w:t>can</w:t>
      </w:r>
      <w:r w:rsidR="00481AE4">
        <w:t xml:space="preserve"> track fundraising efforts </w:t>
      </w:r>
      <w:r w:rsidR="00853A6D">
        <w:t xml:space="preserve">more easily </w:t>
      </w:r>
      <w:r w:rsidR="00481AE4">
        <w:t>because donations are not made to a 3</w:t>
      </w:r>
      <w:r w:rsidR="00481AE4" w:rsidRPr="00376040">
        <w:t>rd</w:t>
      </w:r>
      <w:r w:rsidR="00481AE4">
        <w:t xml:space="preserve"> party</w:t>
      </w:r>
      <w:r w:rsidR="009A7047">
        <w:t>.</w:t>
      </w:r>
    </w:p>
    <w:p w14:paraId="765FD601" w14:textId="77C6B853" w:rsidR="009F27EC" w:rsidRDefault="003F5FC6" w:rsidP="00376040">
      <w:pPr>
        <w:pStyle w:val="ListParagraph"/>
        <w:numPr>
          <w:ilvl w:val="0"/>
          <w:numId w:val="13"/>
        </w:numPr>
        <w:spacing w:line="276" w:lineRule="auto"/>
      </w:pPr>
      <w:r>
        <w:t>Branc</w:t>
      </w:r>
      <w:r w:rsidR="00802868">
        <w:t>h</w:t>
      </w:r>
      <w:r>
        <w:t xml:space="preserve"> </w:t>
      </w:r>
      <w:r w:rsidR="005F4E32">
        <w:t>can</w:t>
      </w:r>
      <w:r w:rsidR="009F27EC">
        <w:t xml:space="preserve"> accept one check for dues and donations</w:t>
      </w:r>
      <w:r>
        <w:t xml:space="preserve"> to projects other tha</w:t>
      </w:r>
      <w:r w:rsidR="001259AE">
        <w:t>n</w:t>
      </w:r>
      <w:r>
        <w:t xml:space="preserve"> national AAUW</w:t>
      </w:r>
      <w:r w:rsidR="009A7047">
        <w:t>.</w:t>
      </w:r>
    </w:p>
    <w:p w14:paraId="55A1DAD3" w14:textId="3B05F8C5" w:rsidR="00683DC7" w:rsidRDefault="003F5FC6" w:rsidP="00376040">
      <w:pPr>
        <w:pStyle w:val="ListParagraph"/>
        <w:numPr>
          <w:ilvl w:val="0"/>
          <w:numId w:val="13"/>
        </w:numPr>
        <w:spacing w:line="276" w:lineRule="auto"/>
      </w:pPr>
      <w:r>
        <w:t xml:space="preserve">Members </w:t>
      </w:r>
      <w:r w:rsidR="005F4E32">
        <w:t>can</w:t>
      </w:r>
      <w:r w:rsidR="00683DC7">
        <w:t xml:space="preserve"> deduct</w:t>
      </w:r>
      <w:r>
        <w:t xml:space="preserve"> </w:t>
      </w:r>
      <w:r w:rsidR="00802868">
        <w:t>unreimbursed out</w:t>
      </w:r>
      <w:r w:rsidR="00683DC7">
        <w:t xml:space="preserve"> of pocket expenses paid</w:t>
      </w:r>
      <w:r w:rsidR="009A7047">
        <w:t>.</w:t>
      </w:r>
    </w:p>
    <w:p w14:paraId="3D54B13C" w14:textId="0A432F64" w:rsidR="00ED039A" w:rsidRDefault="003F5FC6" w:rsidP="00376040">
      <w:pPr>
        <w:pStyle w:val="ListParagraph"/>
        <w:numPr>
          <w:ilvl w:val="0"/>
          <w:numId w:val="13"/>
        </w:numPr>
        <w:spacing w:line="276" w:lineRule="auto"/>
      </w:pPr>
      <w:r>
        <w:t xml:space="preserve">Members </w:t>
      </w:r>
      <w:r w:rsidR="005F4E32">
        <w:t>can</w:t>
      </w:r>
      <w:r w:rsidR="00ED039A">
        <w:t xml:space="preserve"> deduct branch dues</w:t>
      </w:r>
      <w:r w:rsidR="009A7047">
        <w:t>.</w:t>
      </w:r>
      <w:r w:rsidR="00ED039A">
        <w:t xml:space="preserve"> </w:t>
      </w:r>
    </w:p>
    <w:p w14:paraId="752029CE" w14:textId="1E0ADCC4" w:rsidR="009F27EC" w:rsidRDefault="003F5FC6" w:rsidP="00B31681">
      <w:pPr>
        <w:pStyle w:val="ListParagraph"/>
        <w:numPr>
          <w:ilvl w:val="0"/>
          <w:numId w:val="3"/>
        </w:numPr>
        <w:spacing w:line="276" w:lineRule="auto"/>
      </w:pPr>
      <w:r>
        <w:t>Branch</w:t>
      </w:r>
      <w:r w:rsidR="00802868">
        <w:t xml:space="preserve"> </w:t>
      </w:r>
      <w:r w:rsidR="001259AE">
        <w:t>can</w:t>
      </w:r>
      <w:r w:rsidR="009F27EC">
        <w:t xml:space="preserve"> solicit </w:t>
      </w:r>
      <w:r>
        <w:t xml:space="preserve">charitable </w:t>
      </w:r>
      <w:r w:rsidR="009F27EC">
        <w:t>contributions from businesses</w:t>
      </w:r>
      <w:r w:rsidR="00454294">
        <w:t xml:space="preserve"> directly for branch projects rather than going through </w:t>
      </w:r>
      <w:r w:rsidR="00385100">
        <w:t xml:space="preserve">AAUW </w:t>
      </w:r>
      <w:r w:rsidR="002E3C6E">
        <w:t xml:space="preserve">CA </w:t>
      </w:r>
      <w:r w:rsidR="00454294">
        <w:t>SPF</w:t>
      </w:r>
      <w:r w:rsidR="009A7047">
        <w:t>.</w:t>
      </w:r>
    </w:p>
    <w:p w14:paraId="6DF0A9F6" w14:textId="072A727F" w:rsidR="009F27EC" w:rsidRDefault="003F5FC6" w:rsidP="00376040">
      <w:pPr>
        <w:pStyle w:val="ListParagraph"/>
        <w:numPr>
          <w:ilvl w:val="0"/>
          <w:numId w:val="13"/>
        </w:numPr>
        <w:spacing w:line="276" w:lineRule="auto"/>
      </w:pPr>
      <w:r>
        <w:lastRenderedPageBreak/>
        <w:t>Branch</w:t>
      </w:r>
      <w:r w:rsidR="00802868">
        <w:t xml:space="preserve"> </w:t>
      </w:r>
      <w:r w:rsidR="001259AE">
        <w:t>can</w:t>
      </w:r>
      <w:r w:rsidR="009F27EC">
        <w:t xml:space="preserve"> be listed on </w:t>
      </w:r>
      <w:r w:rsidR="0044437D">
        <w:t>GuideStar</w:t>
      </w:r>
      <w:r w:rsidR="009F27EC">
        <w:t xml:space="preserve"> as a</w:t>
      </w:r>
      <w:r w:rsidR="00377EF5">
        <w:t xml:space="preserve"> tax-deductible charity</w:t>
      </w:r>
      <w:r w:rsidR="009A7047">
        <w:t>.</w:t>
      </w:r>
    </w:p>
    <w:p w14:paraId="44B53263" w14:textId="77777777" w:rsidR="001068E3" w:rsidRPr="00C47B95" w:rsidRDefault="00683DC7" w:rsidP="001068E3">
      <w:r w:rsidRPr="00C47B95">
        <w:rPr>
          <w:b/>
        </w:rPr>
        <w:t xml:space="preserve">Cons </w:t>
      </w:r>
      <w:r w:rsidRPr="00C47B95">
        <w:t>–</w:t>
      </w:r>
    </w:p>
    <w:p w14:paraId="765AC8B8" w14:textId="1DD92B92" w:rsidR="0051009C" w:rsidRPr="00AF2D43" w:rsidRDefault="00CA3FB1" w:rsidP="001068E3">
      <w:pPr>
        <w:pStyle w:val="ListParagraph"/>
        <w:numPr>
          <w:ilvl w:val="0"/>
          <w:numId w:val="8"/>
        </w:numPr>
        <w:rPr>
          <w:i/>
        </w:rPr>
      </w:pPr>
      <w:r w:rsidRPr="00C47B95">
        <w:t>Should</w:t>
      </w:r>
      <w:r w:rsidR="00683DC7" w:rsidRPr="00C47B95">
        <w:t xml:space="preserve"> incorporate </w:t>
      </w:r>
      <w:r w:rsidR="00F424AC" w:rsidRPr="00C47B95">
        <w:t xml:space="preserve">to protect board members </w:t>
      </w:r>
      <w:r w:rsidR="00683DC7" w:rsidRPr="00C47B95">
        <w:t>(need attorney and there is an expense</w:t>
      </w:r>
      <w:r w:rsidR="001068E3" w:rsidRPr="00C47B95">
        <w:t>)</w:t>
      </w:r>
      <w:r w:rsidR="009A7047" w:rsidRPr="00C47B95">
        <w:t>.</w:t>
      </w:r>
    </w:p>
    <w:p w14:paraId="13D322FF" w14:textId="48292DF0" w:rsidR="001068E3" w:rsidRPr="00C47B95" w:rsidRDefault="00683DC7" w:rsidP="00683DC7">
      <w:pPr>
        <w:pStyle w:val="ListParagraph"/>
        <w:numPr>
          <w:ilvl w:val="0"/>
          <w:numId w:val="4"/>
        </w:numPr>
      </w:pPr>
      <w:r w:rsidRPr="00C47B95">
        <w:t>Not permitted to engage in substantive lobbying</w:t>
      </w:r>
      <w:r w:rsidR="009A7047" w:rsidRPr="00C47B95">
        <w:t>.</w:t>
      </w:r>
      <w:r w:rsidR="001068E3" w:rsidRPr="00C47B95">
        <w:t xml:space="preserve"> </w:t>
      </w:r>
    </w:p>
    <w:p w14:paraId="25F256B2" w14:textId="79937156" w:rsidR="00683DC7" w:rsidRPr="00C47B95" w:rsidRDefault="00683DC7" w:rsidP="00683DC7">
      <w:pPr>
        <w:pStyle w:val="ListParagraph"/>
        <w:numPr>
          <w:ilvl w:val="0"/>
          <w:numId w:val="4"/>
        </w:numPr>
      </w:pPr>
      <w:r w:rsidRPr="00C47B95">
        <w:t xml:space="preserve">Must complete IRS form </w:t>
      </w:r>
      <w:r w:rsidR="004350EA" w:rsidRPr="00C47B95">
        <w:t>1023 which is very complex and requires a filing fee. Most branches will need outside assistance at a significant cost.</w:t>
      </w:r>
    </w:p>
    <w:p w14:paraId="5CF4BE22" w14:textId="032FE74F" w:rsidR="00394B2A" w:rsidRPr="00C47B95" w:rsidRDefault="00394B2A" w:rsidP="00683DC7">
      <w:pPr>
        <w:pStyle w:val="ListParagraph"/>
        <w:numPr>
          <w:ilvl w:val="0"/>
          <w:numId w:val="4"/>
        </w:numPr>
        <w:rPr>
          <w:i/>
        </w:rPr>
      </w:pPr>
      <w:r w:rsidRPr="00C47B95">
        <w:t>Extensive record keeping</w:t>
      </w:r>
      <w:r w:rsidR="00386A7F" w:rsidRPr="00C47B95">
        <w:t xml:space="preserve">. </w:t>
      </w:r>
      <w:r w:rsidR="009A7047" w:rsidRPr="00C47B95">
        <w:t xml:space="preserve"> </w:t>
      </w:r>
      <w:r w:rsidR="002E3C6E" w:rsidRPr="00C47B95">
        <w:t>To</w:t>
      </w:r>
      <w:r w:rsidR="009A7047" w:rsidRPr="00C47B95">
        <w:t xml:space="preserve"> comply with government rules related to donations, k</w:t>
      </w:r>
      <w:r w:rsidR="001B6063" w:rsidRPr="00C47B95">
        <w:t xml:space="preserve">eeping </w:t>
      </w:r>
      <w:r w:rsidR="009A7047" w:rsidRPr="00C47B95">
        <w:t xml:space="preserve">detailed </w:t>
      </w:r>
      <w:r w:rsidR="001B6063" w:rsidRPr="00C47B95">
        <w:t>donation re</w:t>
      </w:r>
      <w:r w:rsidR="009A7047" w:rsidRPr="00C47B95">
        <w:t>c</w:t>
      </w:r>
      <w:r w:rsidR="001B6063" w:rsidRPr="00C47B95">
        <w:t>ords</w:t>
      </w:r>
      <w:r w:rsidR="009A7047" w:rsidRPr="00C47B95">
        <w:t xml:space="preserve"> is required.</w:t>
      </w:r>
    </w:p>
    <w:p w14:paraId="342F0587" w14:textId="77777777" w:rsidR="004F5E9E" w:rsidRPr="004F5E9E" w:rsidRDefault="004F5E9E" w:rsidP="004F5E9E">
      <w:pPr>
        <w:rPr>
          <w:b/>
          <w:sz w:val="28"/>
          <w:szCs w:val="28"/>
        </w:rPr>
      </w:pPr>
      <w:r w:rsidRPr="004F5E9E">
        <w:rPr>
          <w:b/>
          <w:sz w:val="28"/>
          <w:szCs w:val="28"/>
        </w:rPr>
        <w:t>Add a 501</w:t>
      </w:r>
      <w:r w:rsidR="00CA3FB1">
        <w:rPr>
          <w:b/>
          <w:sz w:val="28"/>
          <w:szCs w:val="28"/>
        </w:rPr>
        <w:t>(c)</w:t>
      </w:r>
      <w:r w:rsidRPr="004F5E9E">
        <w:rPr>
          <w:b/>
          <w:sz w:val="28"/>
          <w:szCs w:val="28"/>
        </w:rPr>
        <w:t xml:space="preserve">(3) to </w:t>
      </w:r>
      <w:r w:rsidR="001068E3">
        <w:rPr>
          <w:b/>
          <w:sz w:val="28"/>
          <w:szCs w:val="28"/>
        </w:rPr>
        <w:t>branch’s</w:t>
      </w:r>
      <w:r w:rsidRPr="004F5E9E">
        <w:rPr>
          <w:b/>
          <w:sz w:val="28"/>
          <w:szCs w:val="28"/>
        </w:rPr>
        <w:t xml:space="preserve"> existing 501</w:t>
      </w:r>
      <w:r w:rsidR="00CA3FB1">
        <w:rPr>
          <w:b/>
          <w:sz w:val="28"/>
          <w:szCs w:val="28"/>
        </w:rPr>
        <w:t>(c)</w:t>
      </w:r>
      <w:r w:rsidRPr="004F5E9E">
        <w:rPr>
          <w:b/>
          <w:sz w:val="28"/>
          <w:szCs w:val="28"/>
        </w:rPr>
        <w:t>(4))</w:t>
      </w:r>
    </w:p>
    <w:p w14:paraId="0AF3EA75" w14:textId="77777777" w:rsidR="004F5E9E" w:rsidRPr="004F5E9E" w:rsidRDefault="004F5E9E" w:rsidP="004F5E9E">
      <w:pPr>
        <w:rPr>
          <w:b/>
        </w:rPr>
      </w:pPr>
      <w:r w:rsidRPr="004F5E9E">
        <w:rPr>
          <w:b/>
        </w:rPr>
        <w:t xml:space="preserve">Pro – </w:t>
      </w:r>
    </w:p>
    <w:p w14:paraId="4A7638E2" w14:textId="72D13D79" w:rsidR="004F5E9E" w:rsidRDefault="00802868" w:rsidP="004F5E9E">
      <w:pPr>
        <w:pStyle w:val="ListParagraph"/>
        <w:numPr>
          <w:ilvl w:val="0"/>
          <w:numId w:val="7"/>
        </w:numPr>
      </w:pPr>
      <w:r>
        <w:t xml:space="preserve">Branch </w:t>
      </w:r>
      <w:r w:rsidR="009761AD">
        <w:t>can</w:t>
      </w:r>
      <w:r w:rsidR="00CA3FB1">
        <w:t xml:space="preserve"> accept charitable donations into the 501(c)(3) but not 501(c)(4)</w:t>
      </w:r>
      <w:r w:rsidR="009A7047">
        <w:t>.</w:t>
      </w:r>
    </w:p>
    <w:p w14:paraId="347120A7" w14:textId="30AFF3C8" w:rsidR="00E1773E" w:rsidRDefault="00802868" w:rsidP="004F5E9E">
      <w:pPr>
        <w:pStyle w:val="ListParagraph"/>
        <w:numPr>
          <w:ilvl w:val="0"/>
          <w:numId w:val="7"/>
        </w:numPr>
      </w:pPr>
      <w:r>
        <w:t xml:space="preserve">Member </w:t>
      </w:r>
      <w:r w:rsidR="009761AD">
        <w:t>can</w:t>
      </w:r>
      <w:r w:rsidR="00E1773E">
        <w:t xml:space="preserve"> deduct out of </w:t>
      </w:r>
      <w:r>
        <w:t xml:space="preserve">unreimbursed </w:t>
      </w:r>
      <w:r w:rsidR="00E1773E">
        <w:t>pocket expenses but only for 501(c)(3) activities</w:t>
      </w:r>
      <w:r w:rsidR="009A7047">
        <w:t>.</w:t>
      </w:r>
    </w:p>
    <w:p w14:paraId="72FE6561" w14:textId="163BFB7D" w:rsidR="00E90FD7" w:rsidRDefault="00E90FD7" w:rsidP="004F5E9E">
      <w:pPr>
        <w:pStyle w:val="ListParagraph"/>
        <w:numPr>
          <w:ilvl w:val="0"/>
          <w:numId w:val="7"/>
        </w:numPr>
      </w:pPr>
      <w:r>
        <w:t>Less expensive and easier to file if adding 501</w:t>
      </w:r>
      <w:r w:rsidR="00CA3FB1">
        <w:t>(c)</w:t>
      </w:r>
      <w:r>
        <w:t>(3</w:t>
      </w:r>
      <w:r w:rsidR="001068E3">
        <w:t>)</w:t>
      </w:r>
      <w:r w:rsidR="00E61967">
        <w:t xml:space="preserve"> </w:t>
      </w:r>
      <w:r w:rsidR="00F424AC">
        <w:t xml:space="preserve">rather than </w:t>
      </w:r>
      <w:r w:rsidR="002E3C6E">
        <w:t>changing.</w:t>
      </w:r>
    </w:p>
    <w:p w14:paraId="24843BB7" w14:textId="69280004" w:rsidR="00454294" w:rsidRDefault="009761AD" w:rsidP="004F5E9E">
      <w:pPr>
        <w:pStyle w:val="ListParagraph"/>
        <w:numPr>
          <w:ilvl w:val="0"/>
          <w:numId w:val="7"/>
        </w:numPr>
      </w:pPr>
      <w:r>
        <w:t>Branch can</w:t>
      </w:r>
      <w:r w:rsidR="00454294">
        <w:t xml:space="preserve"> conduct political </w:t>
      </w:r>
      <w:r w:rsidR="00385100">
        <w:t>and legislative activities in the 501(c)(4)</w:t>
      </w:r>
      <w:r w:rsidR="009A7047">
        <w:t>.</w:t>
      </w:r>
    </w:p>
    <w:p w14:paraId="7FF3B085" w14:textId="77777777" w:rsidR="004F5E9E" w:rsidRPr="00C47B95" w:rsidRDefault="004F5E9E" w:rsidP="004F5E9E">
      <w:pPr>
        <w:rPr>
          <w:b/>
        </w:rPr>
      </w:pPr>
      <w:r w:rsidRPr="00C47B95">
        <w:rPr>
          <w:b/>
        </w:rPr>
        <w:t xml:space="preserve">Con – </w:t>
      </w:r>
    </w:p>
    <w:p w14:paraId="42C7E4BD" w14:textId="77777777" w:rsidR="00CA3FB1" w:rsidRPr="00C47B95" w:rsidRDefault="004F5E9E" w:rsidP="004F5E9E">
      <w:pPr>
        <w:pStyle w:val="ListParagraph"/>
        <w:numPr>
          <w:ilvl w:val="0"/>
          <w:numId w:val="7"/>
        </w:numPr>
      </w:pPr>
      <w:r w:rsidRPr="00C47B95">
        <w:t xml:space="preserve">Requires </w:t>
      </w:r>
      <w:r w:rsidR="00CA3FB1" w:rsidRPr="00C47B95">
        <w:t>separate bank account</w:t>
      </w:r>
      <w:r w:rsidR="009A7047" w:rsidRPr="00C47B95">
        <w:t>.</w:t>
      </w:r>
    </w:p>
    <w:p w14:paraId="099EFB68" w14:textId="77777777" w:rsidR="00CA3FB1" w:rsidRPr="00C47B95" w:rsidRDefault="00CA3FB1" w:rsidP="004F5E9E">
      <w:pPr>
        <w:pStyle w:val="ListParagraph"/>
        <w:numPr>
          <w:ilvl w:val="0"/>
          <w:numId w:val="7"/>
        </w:numPr>
      </w:pPr>
      <w:r w:rsidRPr="00C47B95">
        <w:t>Requires separate accounting records</w:t>
      </w:r>
      <w:r w:rsidR="009A7047" w:rsidRPr="00C47B95">
        <w:t>.</w:t>
      </w:r>
    </w:p>
    <w:p w14:paraId="331F88F8" w14:textId="77777777" w:rsidR="00E1773E" w:rsidRPr="00C47B95" w:rsidRDefault="00E1773E" w:rsidP="004F5E9E">
      <w:pPr>
        <w:pStyle w:val="ListParagraph"/>
        <w:numPr>
          <w:ilvl w:val="0"/>
          <w:numId w:val="7"/>
        </w:numPr>
      </w:pPr>
      <w:r w:rsidRPr="00C47B95">
        <w:t>Requires two boards but there may be some overlap of members</w:t>
      </w:r>
      <w:r w:rsidR="009A7047" w:rsidRPr="00C47B95">
        <w:t>.</w:t>
      </w:r>
    </w:p>
    <w:p w14:paraId="5BD650CF" w14:textId="77777777" w:rsidR="009F27EC" w:rsidRPr="00C47B95" w:rsidRDefault="00CA3FB1" w:rsidP="004F5E9E">
      <w:pPr>
        <w:pStyle w:val="ListParagraph"/>
        <w:numPr>
          <w:ilvl w:val="0"/>
          <w:numId w:val="7"/>
        </w:numPr>
      </w:pPr>
      <w:r w:rsidRPr="00C47B95">
        <w:t>Should</w:t>
      </w:r>
      <w:r w:rsidR="009F27EC" w:rsidRPr="00C47B95">
        <w:t xml:space="preserve"> incorporate </w:t>
      </w:r>
      <w:r w:rsidR="00B321D1" w:rsidRPr="00C47B95">
        <w:t xml:space="preserve">501(c)(3) </w:t>
      </w:r>
      <w:r w:rsidR="009F27EC" w:rsidRPr="00C47B95">
        <w:t>to protect board members</w:t>
      </w:r>
      <w:r w:rsidR="009A7047" w:rsidRPr="00C47B95">
        <w:t>.</w:t>
      </w:r>
    </w:p>
    <w:p w14:paraId="47E6F050" w14:textId="6D7818B5" w:rsidR="009F27EC" w:rsidRPr="00C47B95" w:rsidRDefault="00CA3FB1" w:rsidP="004F5E9E">
      <w:pPr>
        <w:pStyle w:val="ListParagraph"/>
        <w:numPr>
          <w:ilvl w:val="0"/>
          <w:numId w:val="7"/>
        </w:numPr>
      </w:pPr>
      <w:r w:rsidRPr="00C47B95">
        <w:t xml:space="preserve">Must keep 501(c)(3) and 501(c)(4) </w:t>
      </w:r>
      <w:r w:rsidR="00E1773E" w:rsidRPr="00C47B95">
        <w:t xml:space="preserve">funds </w:t>
      </w:r>
      <w:r w:rsidR="002E3C6E" w:rsidRPr="00C47B95">
        <w:t>separate.</w:t>
      </w:r>
    </w:p>
    <w:p w14:paraId="019E021C" w14:textId="050E2BB5" w:rsidR="00071DBB" w:rsidRDefault="00E1773E" w:rsidP="00071DBB">
      <w:pPr>
        <w:pStyle w:val="ListParagraph"/>
        <w:numPr>
          <w:ilvl w:val="0"/>
          <w:numId w:val="7"/>
        </w:numPr>
      </w:pPr>
      <w:r w:rsidRPr="00C47B95">
        <w:t>Unable to use 501(c)(3) funds for 501(c)(4) activity</w:t>
      </w:r>
      <w:r w:rsidR="009A7047" w:rsidRPr="00C47B95">
        <w:t>.</w:t>
      </w:r>
    </w:p>
    <w:p w14:paraId="78541388" w14:textId="77777777" w:rsidR="00DC3A5C" w:rsidRPr="00DC3A5C" w:rsidRDefault="00DC3A5C" w:rsidP="00DC3A5C">
      <w:pPr>
        <w:pStyle w:val="Default"/>
        <w:rPr>
          <w:rFonts w:asciiTheme="minorHAnsi" w:hAnsiTheme="minorHAnsi" w:cstheme="minorHAnsi"/>
          <w:b/>
          <w:bCs/>
          <w:sz w:val="28"/>
          <w:szCs w:val="28"/>
        </w:rPr>
      </w:pPr>
      <w:bookmarkStart w:id="0" w:name="_Hlk70070184"/>
      <w:r w:rsidRPr="00DC3A5C">
        <w:rPr>
          <w:rFonts w:asciiTheme="minorHAnsi" w:hAnsiTheme="minorHAnsi" w:cstheme="minorHAnsi"/>
          <w:b/>
          <w:bCs/>
          <w:sz w:val="28"/>
          <w:szCs w:val="28"/>
        </w:rPr>
        <w:t xml:space="preserve">Factors in Deciding – </w:t>
      </w:r>
    </w:p>
    <w:p w14:paraId="4C7E3C78" w14:textId="77777777" w:rsidR="00DC3A5C" w:rsidRDefault="00DC3A5C" w:rsidP="00DC3A5C">
      <w:pPr>
        <w:pStyle w:val="Default"/>
        <w:rPr>
          <w:rFonts w:asciiTheme="minorHAnsi" w:hAnsiTheme="minorHAnsi" w:cstheme="minorHAnsi"/>
        </w:rPr>
      </w:pPr>
    </w:p>
    <w:p w14:paraId="21E2AF5F" w14:textId="77777777" w:rsidR="00DC3A5C" w:rsidRPr="00F6569D" w:rsidRDefault="00DC3A5C" w:rsidP="00DC3A5C">
      <w:pPr>
        <w:pStyle w:val="Default"/>
        <w:numPr>
          <w:ilvl w:val="0"/>
          <w:numId w:val="18"/>
        </w:numPr>
        <w:rPr>
          <w:rFonts w:asciiTheme="minorHAnsi" w:hAnsiTheme="minorHAnsi" w:cstheme="minorHAnsi"/>
          <w:sz w:val="22"/>
          <w:szCs w:val="22"/>
        </w:rPr>
      </w:pPr>
      <w:r w:rsidRPr="00F6569D">
        <w:rPr>
          <w:rFonts w:asciiTheme="minorHAnsi" w:hAnsiTheme="minorHAnsi" w:cstheme="minorHAnsi"/>
          <w:sz w:val="22"/>
          <w:szCs w:val="22"/>
        </w:rPr>
        <w:t>If your branch raises significant amounts of money by selling tickets to events (especially to the general public), becoming an IRC Sec. 501(c</w:t>
      </w:r>
      <w:proofErr w:type="gramStart"/>
      <w:r w:rsidRPr="00F6569D">
        <w:rPr>
          <w:rFonts w:asciiTheme="minorHAnsi" w:hAnsiTheme="minorHAnsi" w:cstheme="minorHAnsi"/>
          <w:sz w:val="22"/>
          <w:szCs w:val="22"/>
        </w:rPr>
        <w:t>)(</w:t>
      </w:r>
      <w:proofErr w:type="gramEnd"/>
      <w:r w:rsidRPr="00F6569D">
        <w:rPr>
          <w:rFonts w:asciiTheme="minorHAnsi" w:hAnsiTheme="minorHAnsi" w:cstheme="minorHAnsi"/>
          <w:sz w:val="22"/>
          <w:szCs w:val="22"/>
        </w:rPr>
        <w:t>3) may be warranted. Ticket holders may take a deduction for the cost of the ticket less the value received if the branch is a 501(c)(3) but not if the branch is a 501(c)(4).</w:t>
      </w:r>
    </w:p>
    <w:p w14:paraId="211EEC16" w14:textId="2F5C8DC7" w:rsidR="00066B08" w:rsidRPr="007A1670" w:rsidRDefault="00DC3A5C" w:rsidP="00071DBB">
      <w:pPr>
        <w:pStyle w:val="Default"/>
        <w:numPr>
          <w:ilvl w:val="0"/>
          <w:numId w:val="18"/>
        </w:numPr>
        <w:rPr>
          <w:rFonts w:asciiTheme="minorHAnsi" w:hAnsiTheme="minorHAnsi" w:cstheme="minorHAnsi"/>
        </w:rPr>
      </w:pPr>
      <w:r w:rsidRPr="00F6569D">
        <w:rPr>
          <w:rFonts w:asciiTheme="minorHAnsi" w:hAnsiTheme="minorHAnsi" w:cstheme="minorHAnsi"/>
          <w:sz w:val="22"/>
          <w:szCs w:val="22"/>
        </w:rPr>
        <w:t>If your branch does not raise significant amounts by selling tickets and/or ticket purchasers do not care if they receive a tax deduction, then remaining a 501(c)(4) makes sense</w:t>
      </w:r>
      <w:r>
        <w:rPr>
          <w:rFonts w:asciiTheme="minorHAnsi" w:hAnsiTheme="minorHAnsi" w:cstheme="minorHAnsi"/>
        </w:rPr>
        <w:t>.</w:t>
      </w:r>
      <w:bookmarkEnd w:id="0"/>
      <w:r w:rsidR="007A1670">
        <w:rPr>
          <w:rFonts w:asciiTheme="minorHAnsi" w:hAnsiTheme="minorHAnsi" w:cstheme="minorHAnsi"/>
        </w:rPr>
        <w:br/>
      </w:r>
    </w:p>
    <w:p w14:paraId="5DBF0A3E" w14:textId="61E5CF3F" w:rsidR="00071DBB" w:rsidRDefault="00071DBB" w:rsidP="00071DBB">
      <w:r w:rsidRPr="00AF2D43">
        <w:rPr>
          <w:b/>
          <w:sz w:val="28"/>
          <w:szCs w:val="28"/>
        </w:rPr>
        <w:t xml:space="preserve">Should you </w:t>
      </w:r>
      <w:proofErr w:type="gramStart"/>
      <w:r w:rsidRPr="00AF2D43">
        <w:rPr>
          <w:b/>
          <w:sz w:val="28"/>
          <w:szCs w:val="28"/>
        </w:rPr>
        <w:t>Incorporate</w:t>
      </w:r>
      <w:proofErr w:type="gramEnd"/>
      <w:r w:rsidR="00C85751">
        <w:rPr>
          <w:b/>
          <w:sz w:val="28"/>
          <w:szCs w:val="28"/>
        </w:rPr>
        <w:t>?</w:t>
      </w:r>
      <w:r>
        <w:t xml:space="preserve"> </w:t>
      </w:r>
    </w:p>
    <w:p w14:paraId="04F8D4A4" w14:textId="77777777" w:rsidR="00071DBB" w:rsidRPr="00F6569D" w:rsidRDefault="00071DBB" w:rsidP="00071DBB">
      <w:pPr>
        <w:rPr>
          <w:b/>
          <w:bCs/>
        </w:rPr>
      </w:pPr>
      <w:r w:rsidRPr="00F6569D">
        <w:rPr>
          <w:b/>
          <w:bCs/>
        </w:rPr>
        <w:t xml:space="preserve">Pros – </w:t>
      </w:r>
    </w:p>
    <w:p w14:paraId="590246C8" w14:textId="77777777" w:rsidR="00071DBB" w:rsidRDefault="00071DBB" w:rsidP="00071DBB">
      <w:pPr>
        <w:pStyle w:val="ListParagraph"/>
        <w:numPr>
          <w:ilvl w:val="0"/>
          <w:numId w:val="10"/>
        </w:numPr>
      </w:pPr>
      <w:r>
        <w:t>Additional protection for board members</w:t>
      </w:r>
      <w:r w:rsidR="009A7047">
        <w:t>.</w:t>
      </w:r>
    </w:p>
    <w:p w14:paraId="47625121" w14:textId="3E959AC8" w:rsidR="00071DBB" w:rsidRDefault="00071DBB" w:rsidP="00071DBB">
      <w:pPr>
        <w:pStyle w:val="NormalWeb"/>
        <w:shd w:val="clear" w:color="auto" w:fill="FFFFFF"/>
        <w:spacing w:before="0" w:beforeAutospacing="0" w:after="120" w:afterAutospacing="0"/>
        <w:ind w:left="720"/>
        <w:rPr>
          <w:rFonts w:asciiTheme="minorHAnsi" w:hAnsiTheme="minorHAnsi" w:cstheme="minorHAnsi"/>
          <w:i/>
          <w:iCs/>
          <w:color w:val="272727"/>
          <w:sz w:val="22"/>
          <w:szCs w:val="22"/>
        </w:rPr>
      </w:pPr>
      <w:r w:rsidRPr="00FD3C6A">
        <w:rPr>
          <w:rFonts w:asciiTheme="minorHAnsi" w:hAnsiTheme="minorHAnsi" w:cstheme="minorHAnsi"/>
          <w:i/>
          <w:sz w:val="22"/>
          <w:szCs w:val="22"/>
        </w:rPr>
        <w:t xml:space="preserve">Any individual or group of persons who operates as a charitable </w:t>
      </w:r>
      <w:r w:rsidR="009761AD" w:rsidRPr="00FD3C6A">
        <w:rPr>
          <w:rFonts w:asciiTheme="minorHAnsi" w:hAnsiTheme="minorHAnsi" w:cstheme="minorHAnsi"/>
          <w:i/>
          <w:sz w:val="22"/>
          <w:szCs w:val="22"/>
        </w:rPr>
        <w:t>organization but</w:t>
      </w:r>
      <w:r w:rsidRPr="00FD3C6A">
        <w:rPr>
          <w:rFonts w:asciiTheme="minorHAnsi" w:hAnsiTheme="minorHAnsi" w:cstheme="minorHAnsi"/>
          <w:i/>
          <w:sz w:val="22"/>
          <w:szCs w:val="22"/>
        </w:rPr>
        <w:t xml:space="preserve"> does not create a nonprofit corporation or a trust, may be treated under California law as an “unincorporated association.” Under this classification, the individuals may be exposed to substantial risk of personal liability if the organization is sued. (</w:t>
      </w:r>
      <w:r w:rsidRPr="00FD3C6A">
        <w:rPr>
          <w:rFonts w:asciiTheme="minorHAnsi" w:hAnsiTheme="minorHAnsi" w:cstheme="minorHAnsi"/>
          <w:b/>
          <w:i/>
          <w:iCs/>
          <w:color w:val="272727"/>
          <w:sz w:val="22"/>
          <w:szCs w:val="22"/>
        </w:rPr>
        <w:t>California Attorney General’s Guide for Charities</w:t>
      </w:r>
      <w:r w:rsidRPr="00FD3C6A">
        <w:rPr>
          <w:rFonts w:asciiTheme="minorHAnsi" w:hAnsiTheme="minorHAnsi" w:cstheme="minorHAnsi"/>
          <w:i/>
          <w:iCs/>
          <w:color w:val="272727"/>
          <w:sz w:val="22"/>
          <w:szCs w:val="22"/>
        </w:rPr>
        <w:t>)</w:t>
      </w:r>
    </w:p>
    <w:p w14:paraId="21CF3D1A" w14:textId="77777777" w:rsidR="00071DBB" w:rsidRPr="005F4E32" w:rsidRDefault="00071DBB" w:rsidP="00071DBB">
      <w:pPr>
        <w:pStyle w:val="NormalWeb"/>
        <w:numPr>
          <w:ilvl w:val="0"/>
          <w:numId w:val="10"/>
        </w:numPr>
        <w:shd w:val="clear" w:color="auto" w:fill="FFFFFF"/>
        <w:spacing w:before="0" w:beforeAutospacing="0" w:after="120" w:afterAutospacing="0"/>
        <w:rPr>
          <w:rFonts w:asciiTheme="minorHAnsi" w:eastAsiaTheme="minorHAnsi" w:hAnsiTheme="minorHAnsi" w:cstheme="minorBidi"/>
          <w:sz w:val="22"/>
          <w:szCs w:val="22"/>
        </w:rPr>
      </w:pPr>
      <w:r w:rsidRPr="005F4E32">
        <w:rPr>
          <w:rFonts w:asciiTheme="minorHAnsi" w:eastAsiaTheme="minorHAnsi" w:hAnsiTheme="minorHAnsi" w:cstheme="minorBidi"/>
          <w:sz w:val="22"/>
          <w:szCs w:val="22"/>
        </w:rPr>
        <w:lastRenderedPageBreak/>
        <w:t>Eases solicitation of contributions</w:t>
      </w:r>
      <w:r w:rsidR="009A7047" w:rsidRPr="005F4E32">
        <w:rPr>
          <w:rFonts w:asciiTheme="minorHAnsi" w:eastAsiaTheme="minorHAnsi" w:hAnsiTheme="minorHAnsi" w:cstheme="minorBidi"/>
          <w:sz w:val="22"/>
          <w:szCs w:val="22"/>
        </w:rPr>
        <w:t>.</w:t>
      </w:r>
    </w:p>
    <w:p w14:paraId="2667C751" w14:textId="77777777" w:rsidR="00071DBB" w:rsidRPr="00F6569D" w:rsidRDefault="00071DBB" w:rsidP="00071DBB">
      <w:pPr>
        <w:rPr>
          <w:b/>
          <w:bCs/>
        </w:rPr>
      </w:pPr>
      <w:r w:rsidRPr="00F6569D">
        <w:rPr>
          <w:b/>
          <w:bCs/>
        </w:rPr>
        <w:t xml:space="preserve">Cons – </w:t>
      </w:r>
    </w:p>
    <w:p w14:paraId="76564317" w14:textId="6504568D" w:rsidR="00071DBB" w:rsidRDefault="00071DBB" w:rsidP="00071DBB">
      <w:pPr>
        <w:pStyle w:val="ListParagraph"/>
        <w:numPr>
          <w:ilvl w:val="0"/>
          <w:numId w:val="11"/>
        </w:numPr>
      </w:pPr>
      <w:r>
        <w:t>Requires some paperwork and expense</w:t>
      </w:r>
      <w:r w:rsidR="009A7047">
        <w:t>.</w:t>
      </w:r>
    </w:p>
    <w:p w14:paraId="29AA48F6" w14:textId="41D7A13E" w:rsidR="00C85751" w:rsidRPr="00AF2D43" w:rsidRDefault="00C85751" w:rsidP="00AF2D43">
      <w:pPr>
        <w:rPr>
          <w:rFonts w:cstheme="minorHAnsi"/>
          <w:b/>
          <w:sz w:val="28"/>
          <w:szCs w:val="28"/>
        </w:rPr>
      </w:pPr>
      <w:r w:rsidRPr="00AF2D43">
        <w:rPr>
          <w:rFonts w:cstheme="minorHAnsi"/>
          <w:b/>
          <w:sz w:val="28"/>
          <w:szCs w:val="28"/>
        </w:rPr>
        <w:t>Legislative Activities (Lobbying)</w:t>
      </w:r>
    </w:p>
    <w:p w14:paraId="04BDCE93" w14:textId="651D3BA0" w:rsidR="00C85751" w:rsidRPr="00AF2D43" w:rsidRDefault="00C85751" w:rsidP="00C85751">
      <w:pPr>
        <w:rPr>
          <w:rFonts w:cstheme="minorHAnsi"/>
          <w:sz w:val="24"/>
          <w:szCs w:val="24"/>
        </w:rPr>
      </w:pPr>
      <w:r w:rsidRPr="00AF2D43">
        <w:rPr>
          <w:rFonts w:cstheme="minorHAnsi"/>
          <w:sz w:val="24"/>
          <w:szCs w:val="24"/>
        </w:rPr>
        <w:t xml:space="preserve">As non-partisan organizations, AAUW and all its affiliates are permitted to be political, but not partisan. We can lobby for issues supported by AAUW such as pay equity but are prohibited from campaigning for a political party or candidate. Voter education and registration activities are permitted for both 501(c)(3) and 501(c)(4) </w:t>
      </w:r>
      <w:r w:rsidRPr="00C85751">
        <w:rPr>
          <w:rFonts w:cstheme="minorHAnsi"/>
          <w:sz w:val="24"/>
          <w:szCs w:val="24"/>
        </w:rPr>
        <w:t>affiliates if</w:t>
      </w:r>
      <w:r w:rsidRPr="00AF2D43">
        <w:rPr>
          <w:rFonts w:cstheme="minorHAnsi"/>
          <w:sz w:val="24"/>
          <w:szCs w:val="24"/>
        </w:rPr>
        <w:t xml:space="preserve"> they are unbiased.</w:t>
      </w:r>
    </w:p>
    <w:p w14:paraId="2D2E1AC3" w14:textId="0851A483" w:rsidR="00C85751" w:rsidRPr="00AF2D43" w:rsidRDefault="00C85751" w:rsidP="00C85751">
      <w:pPr>
        <w:rPr>
          <w:rFonts w:cstheme="minorHAnsi"/>
          <w:sz w:val="24"/>
          <w:szCs w:val="24"/>
        </w:rPr>
      </w:pPr>
      <w:r w:rsidRPr="00AF2D43">
        <w:rPr>
          <w:rFonts w:cstheme="minorHAnsi"/>
          <w:sz w:val="24"/>
          <w:szCs w:val="24"/>
        </w:rPr>
        <w:t>The extent of legislative activities (lobbying) permitted for 501(c)(3) organizations is much more limited as compared to 501(c)(4) organizations, as described below.</w:t>
      </w:r>
    </w:p>
    <w:p w14:paraId="5CC5729F" w14:textId="77777777" w:rsidR="00C85751" w:rsidRPr="00AF2D43" w:rsidRDefault="00C85751" w:rsidP="00C85751">
      <w:pPr>
        <w:rPr>
          <w:rFonts w:cstheme="minorHAnsi"/>
          <w:b/>
          <w:sz w:val="24"/>
          <w:szCs w:val="24"/>
        </w:rPr>
      </w:pPr>
      <w:r w:rsidRPr="00AF2D43">
        <w:rPr>
          <w:rFonts w:cstheme="minorHAnsi"/>
          <w:b/>
          <w:sz w:val="24"/>
          <w:szCs w:val="24"/>
        </w:rPr>
        <w:t>501(c)(3) Legislative Activities</w:t>
      </w:r>
    </w:p>
    <w:p w14:paraId="1DCB238E" w14:textId="77777777" w:rsidR="00C85751" w:rsidRPr="00AF2D43" w:rsidRDefault="00C85751" w:rsidP="00C85751">
      <w:pPr>
        <w:pStyle w:val="Default"/>
        <w:numPr>
          <w:ilvl w:val="0"/>
          <w:numId w:val="16"/>
        </w:numPr>
        <w:rPr>
          <w:rFonts w:asciiTheme="minorHAnsi" w:hAnsiTheme="minorHAnsi" w:cstheme="minorHAnsi"/>
        </w:rPr>
      </w:pPr>
      <w:r w:rsidRPr="00AF2D43">
        <w:rPr>
          <w:rFonts w:asciiTheme="minorHAnsi" w:hAnsiTheme="minorHAnsi" w:cstheme="minorHAnsi"/>
        </w:rPr>
        <w:t xml:space="preserve">Not permitted to engage in </w:t>
      </w:r>
      <w:r w:rsidRPr="00AF2D43">
        <w:rPr>
          <w:rFonts w:asciiTheme="minorHAnsi" w:hAnsiTheme="minorHAnsi" w:cstheme="minorHAnsi"/>
          <w:u w:val="single"/>
        </w:rPr>
        <w:t>substantial</w:t>
      </w:r>
      <w:r w:rsidRPr="00AF2D43">
        <w:rPr>
          <w:rFonts w:asciiTheme="minorHAnsi" w:hAnsiTheme="minorHAnsi" w:cstheme="minorHAnsi"/>
        </w:rPr>
        <w:t xml:space="preserve"> legislative activities (lobbying). An organization will be regarded as attempting to influence legislation if it contacts, or urges the public to contact, members or employees of a legislative body for purposes of proposing, supporting, or opposing legislation, or advocates the adoption or rejection of legislation. </w:t>
      </w:r>
    </w:p>
    <w:p w14:paraId="151FBC08" w14:textId="77777777" w:rsidR="00C85751" w:rsidRPr="00AF2D43" w:rsidRDefault="00C85751" w:rsidP="00C85751">
      <w:pPr>
        <w:pStyle w:val="Default"/>
        <w:numPr>
          <w:ilvl w:val="0"/>
          <w:numId w:val="17"/>
        </w:numPr>
        <w:rPr>
          <w:rFonts w:asciiTheme="minorHAnsi" w:hAnsiTheme="minorHAnsi" w:cstheme="minorHAnsi"/>
        </w:rPr>
      </w:pPr>
      <w:r w:rsidRPr="00AF2D43">
        <w:rPr>
          <w:rFonts w:asciiTheme="minorHAnsi" w:hAnsiTheme="minorHAnsi" w:cstheme="minorHAnsi"/>
        </w:rPr>
        <w:t xml:space="preserve">Substantiality based on facts and circumstances including time and money devoted to activity. </w:t>
      </w:r>
    </w:p>
    <w:p w14:paraId="7D7D3048" w14:textId="77777777" w:rsidR="00C85751" w:rsidRPr="00AF2D43" w:rsidRDefault="00C85751" w:rsidP="00C85751">
      <w:pPr>
        <w:pStyle w:val="Default"/>
        <w:numPr>
          <w:ilvl w:val="0"/>
          <w:numId w:val="17"/>
        </w:numPr>
        <w:rPr>
          <w:rFonts w:asciiTheme="minorHAnsi" w:hAnsiTheme="minorHAnsi" w:cstheme="minorHAnsi"/>
        </w:rPr>
      </w:pPr>
      <w:r w:rsidRPr="00AF2D43">
        <w:rPr>
          <w:rFonts w:asciiTheme="minorHAnsi" w:hAnsiTheme="minorHAnsi" w:cstheme="minorHAnsi"/>
        </w:rPr>
        <w:t>Alternative is expenditure test – lobbying expenses less than 20% of exempt purpose expenditures less than or equal to $500,000.</w:t>
      </w:r>
    </w:p>
    <w:p w14:paraId="46B22EE5" w14:textId="77777777" w:rsidR="00C85751" w:rsidRPr="00AF2D43" w:rsidRDefault="00C85751" w:rsidP="00C85751">
      <w:pPr>
        <w:pStyle w:val="Default"/>
        <w:rPr>
          <w:rFonts w:asciiTheme="minorHAnsi" w:hAnsiTheme="minorHAnsi" w:cstheme="minorHAnsi"/>
        </w:rPr>
      </w:pPr>
    </w:p>
    <w:p w14:paraId="3CBDE108" w14:textId="2731E4A7" w:rsidR="00C85751" w:rsidRPr="00AF2D43" w:rsidRDefault="00C85751" w:rsidP="00C85751">
      <w:pPr>
        <w:pStyle w:val="Default"/>
        <w:rPr>
          <w:rFonts w:asciiTheme="minorHAnsi" w:hAnsiTheme="minorHAnsi" w:cstheme="minorHAnsi"/>
          <w:b/>
        </w:rPr>
      </w:pPr>
      <w:r w:rsidRPr="00AF2D43">
        <w:rPr>
          <w:rFonts w:asciiTheme="minorHAnsi" w:hAnsiTheme="minorHAnsi" w:cstheme="minorHAnsi"/>
          <w:b/>
        </w:rPr>
        <w:t xml:space="preserve">501(c)(4) Legislative Activities - </w:t>
      </w:r>
    </w:p>
    <w:p w14:paraId="5B6EC194" w14:textId="77777777" w:rsidR="00C85751" w:rsidRPr="00AF2D43" w:rsidRDefault="00C85751" w:rsidP="00C85751">
      <w:pPr>
        <w:pStyle w:val="Default"/>
        <w:rPr>
          <w:rFonts w:asciiTheme="minorHAnsi" w:hAnsiTheme="minorHAnsi" w:cstheme="minorHAnsi"/>
        </w:rPr>
      </w:pPr>
    </w:p>
    <w:p w14:paraId="43052428" w14:textId="77777777" w:rsidR="00C85751" w:rsidRPr="00AF2D43" w:rsidRDefault="00C85751" w:rsidP="00C85751">
      <w:pPr>
        <w:pStyle w:val="Default"/>
        <w:numPr>
          <w:ilvl w:val="0"/>
          <w:numId w:val="16"/>
        </w:numPr>
        <w:rPr>
          <w:rFonts w:asciiTheme="minorHAnsi" w:hAnsiTheme="minorHAnsi" w:cstheme="minorHAnsi"/>
        </w:rPr>
      </w:pPr>
      <w:r w:rsidRPr="00AF2D43">
        <w:rPr>
          <w:rFonts w:asciiTheme="minorHAnsi" w:hAnsiTheme="minorHAnsi" w:cstheme="minorHAnsi"/>
        </w:rPr>
        <w:t>May engage in an unlimited amount of lobbying (i.e., attempting to influence legisla</w:t>
      </w:r>
      <w:r w:rsidRPr="00AF2D43">
        <w:rPr>
          <w:rFonts w:asciiTheme="minorHAnsi" w:hAnsiTheme="minorHAnsi" w:cstheme="minorHAnsi"/>
        </w:rPr>
        <w:softHyphen/>
        <w:t>tion), provided that the lobbying is related to the organization’s exempt purpose.</w:t>
      </w:r>
    </w:p>
    <w:p w14:paraId="3748E0C2" w14:textId="77777777" w:rsidR="00C85751" w:rsidRPr="00AF2D43" w:rsidRDefault="00C85751" w:rsidP="00C85751">
      <w:pPr>
        <w:pStyle w:val="Default"/>
        <w:rPr>
          <w:rFonts w:asciiTheme="minorHAnsi" w:hAnsiTheme="minorHAnsi" w:cstheme="minorHAnsi"/>
        </w:rPr>
      </w:pPr>
    </w:p>
    <w:p w14:paraId="01E33E3C" w14:textId="6F179A25" w:rsidR="00C85751" w:rsidRDefault="00C85751" w:rsidP="00C85751">
      <w:pPr>
        <w:pStyle w:val="Default"/>
        <w:numPr>
          <w:ilvl w:val="0"/>
          <w:numId w:val="16"/>
        </w:numPr>
        <w:rPr>
          <w:rFonts w:asciiTheme="minorHAnsi" w:hAnsiTheme="minorHAnsi" w:cstheme="minorHAnsi"/>
        </w:rPr>
      </w:pPr>
      <w:r w:rsidRPr="00AF2D43">
        <w:rPr>
          <w:rFonts w:asciiTheme="minorHAnsi" w:hAnsiTheme="minorHAnsi" w:cstheme="minorHAnsi"/>
        </w:rPr>
        <w:t>Section 18 of the Lobbying Disclosure Act of 1995, P.L.104-65, prohibits section 501(c)(4) organizations from receiving federal grants, loans, or other awards if they engage in lobbying activities, even if they conduct the lobbying with their own funds.</w:t>
      </w:r>
    </w:p>
    <w:p w14:paraId="6ACF06CE" w14:textId="0CB7E583" w:rsidR="009D2905" w:rsidRPr="00AF2D43" w:rsidRDefault="007A1670" w:rsidP="00AF2D43">
      <w:pPr>
        <w:pStyle w:val="NormalWeb"/>
        <w:shd w:val="clear" w:color="auto" w:fill="FFFFFF"/>
        <w:spacing w:before="0" w:beforeAutospacing="0" w:after="120" w:afterAutospacing="0"/>
        <w:rPr>
          <w:rFonts w:asciiTheme="minorHAnsi" w:hAnsiTheme="minorHAnsi" w:cstheme="minorHAnsi"/>
          <w:b/>
        </w:rPr>
      </w:pPr>
      <w:r>
        <w:rPr>
          <w:rFonts w:asciiTheme="minorHAnsi" w:hAnsiTheme="minorHAnsi" w:cstheme="minorHAnsi"/>
          <w:b/>
          <w:sz w:val="28"/>
          <w:szCs w:val="28"/>
        </w:rPr>
        <w:br/>
      </w:r>
      <w:bookmarkStart w:id="1" w:name="_GoBack"/>
      <w:bookmarkEnd w:id="1"/>
      <w:r w:rsidR="009D2905" w:rsidRPr="00066B08">
        <w:rPr>
          <w:rFonts w:asciiTheme="minorHAnsi" w:hAnsiTheme="minorHAnsi" w:cstheme="minorHAnsi"/>
          <w:b/>
          <w:sz w:val="28"/>
          <w:szCs w:val="28"/>
        </w:rPr>
        <w:t>Resources</w:t>
      </w:r>
    </w:p>
    <w:p w14:paraId="234507A5" w14:textId="66514611" w:rsidR="009D2905" w:rsidRPr="00AF2D43" w:rsidRDefault="009D2905" w:rsidP="00176475">
      <w:pPr>
        <w:pStyle w:val="NormalWeb"/>
        <w:shd w:val="clear" w:color="auto" w:fill="FFFFFF"/>
        <w:spacing w:before="240" w:beforeAutospacing="0" w:after="120" w:afterAutospacing="0"/>
        <w:ind w:left="720"/>
        <w:rPr>
          <w:rFonts w:asciiTheme="minorHAnsi" w:hAnsiTheme="minorHAnsi" w:cstheme="minorHAnsi"/>
        </w:rPr>
      </w:pPr>
      <w:r w:rsidRPr="00AF2D43">
        <w:rPr>
          <w:rFonts w:asciiTheme="minorHAnsi" w:hAnsiTheme="minorHAnsi" w:cstheme="minorHAnsi"/>
          <w:b/>
        </w:rPr>
        <w:t xml:space="preserve">IRS Compliance Guide for </w:t>
      </w:r>
      <w:r w:rsidR="0092087F" w:rsidRPr="00AF2D43">
        <w:rPr>
          <w:rFonts w:asciiTheme="minorHAnsi" w:hAnsiTheme="minorHAnsi" w:cstheme="minorHAnsi"/>
          <w:b/>
        </w:rPr>
        <w:t>5</w:t>
      </w:r>
      <w:r w:rsidRPr="00AF2D43">
        <w:rPr>
          <w:rFonts w:asciiTheme="minorHAnsi" w:hAnsiTheme="minorHAnsi" w:cstheme="minorHAnsi"/>
          <w:b/>
        </w:rPr>
        <w:t>01(c</w:t>
      </w:r>
      <w:proofErr w:type="gramStart"/>
      <w:r w:rsidRPr="00AF2D43">
        <w:rPr>
          <w:rFonts w:asciiTheme="minorHAnsi" w:hAnsiTheme="minorHAnsi" w:cstheme="minorHAnsi"/>
          <w:b/>
        </w:rPr>
        <w:t>)(</w:t>
      </w:r>
      <w:proofErr w:type="gramEnd"/>
      <w:r w:rsidRPr="00AF2D43">
        <w:rPr>
          <w:rFonts w:asciiTheme="minorHAnsi" w:hAnsiTheme="minorHAnsi" w:cstheme="minorHAnsi"/>
          <w:b/>
        </w:rPr>
        <w:t>3) Public Charities</w:t>
      </w:r>
      <w:r w:rsidRPr="00AF2D43">
        <w:rPr>
          <w:rFonts w:asciiTheme="minorHAnsi" w:hAnsiTheme="minorHAnsi" w:cstheme="minorHAnsi"/>
        </w:rPr>
        <w:t xml:space="preserve"> </w:t>
      </w:r>
      <w:r w:rsidR="002E3C6E" w:rsidRPr="00AF2D43">
        <w:rPr>
          <w:rFonts w:asciiTheme="minorHAnsi" w:hAnsiTheme="minorHAnsi" w:cstheme="minorHAnsi"/>
        </w:rPr>
        <w:t>(</w:t>
      </w:r>
      <w:hyperlink r:id="rId8" w:history="1">
        <w:r w:rsidR="002E3C6E" w:rsidRPr="00AF2D43">
          <w:rPr>
            <w:rStyle w:val="Hyperlink"/>
            <w:rFonts w:asciiTheme="minorHAnsi" w:hAnsiTheme="minorHAnsi" w:cstheme="minorHAnsi"/>
          </w:rPr>
          <w:t>https://www.irs.gov/pub/irs-pdf/p4221pc.pdf</w:t>
        </w:r>
      </w:hyperlink>
      <w:r w:rsidR="002E3C6E" w:rsidRPr="00AF2D43">
        <w:rPr>
          <w:rFonts w:asciiTheme="minorHAnsi" w:hAnsiTheme="minorHAnsi" w:cstheme="minorHAnsi"/>
        </w:rPr>
        <w:t xml:space="preserve"> </w:t>
      </w:r>
      <w:r w:rsidRPr="00AF2D43">
        <w:rPr>
          <w:rFonts w:asciiTheme="minorHAnsi" w:hAnsiTheme="minorHAnsi" w:cstheme="minorHAnsi"/>
        </w:rPr>
        <w:t>– Description of activities that may jeopardize tax-exempt status, record keeping and retention, federal tax filings and more.</w:t>
      </w:r>
    </w:p>
    <w:p w14:paraId="2A4313B1" w14:textId="3358C167" w:rsidR="009D2905" w:rsidRPr="00AF2D43" w:rsidRDefault="009D2905" w:rsidP="00974015">
      <w:pPr>
        <w:pStyle w:val="NormalWeb"/>
        <w:shd w:val="clear" w:color="auto" w:fill="FFFFFF"/>
        <w:spacing w:before="0" w:beforeAutospacing="0" w:after="120" w:afterAutospacing="0"/>
        <w:ind w:left="720"/>
        <w:rPr>
          <w:rFonts w:asciiTheme="minorHAnsi" w:hAnsiTheme="minorHAnsi" w:cstheme="minorHAnsi"/>
        </w:rPr>
      </w:pPr>
      <w:r w:rsidRPr="00AF2D43">
        <w:rPr>
          <w:rFonts w:asciiTheme="minorHAnsi" w:hAnsiTheme="minorHAnsi" w:cstheme="minorHAnsi"/>
          <w:b/>
        </w:rPr>
        <w:t>IRS Publication 557 Tax-Exempt Status for Your Organization</w:t>
      </w:r>
      <w:r w:rsidR="002E3C6E" w:rsidRPr="00AF2D43">
        <w:rPr>
          <w:rFonts w:asciiTheme="minorHAnsi" w:hAnsiTheme="minorHAnsi" w:cstheme="minorHAnsi"/>
          <w:b/>
        </w:rPr>
        <w:t xml:space="preserve"> (</w:t>
      </w:r>
      <w:hyperlink r:id="rId9" w:history="1">
        <w:r w:rsidR="00176475" w:rsidRPr="00AF2D43">
          <w:rPr>
            <w:rStyle w:val="Hyperlink"/>
            <w:rFonts w:asciiTheme="minorHAnsi" w:hAnsiTheme="minorHAnsi" w:cstheme="minorHAnsi"/>
            <w:b/>
          </w:rPr>
          <w:t>https://www.irs.gov/pub/irs-pdf/p557.pdf</w:t>
        </w:r>
      </w:hyperlink>
      <w:r w:rsidR="00176475" w:rsidRPr="00AF2D43">
        <w:rPr>
          <w:rFonts w:asciiTheme="minorHAnsi" w:hAnsiTheme="minorHAnsi" w:cstheme="minorHAnsi"/>
          <w:b/>
        </w:rPr>
        <w:t xml:space="preserve">) </w:t>
      </w:r>
      <w:r w:rsidRPr="00AF2D43">
        <w:rPr>
          <w:rFonts w:asciiTheme="minorHAnsi" w:hAnsiTheme="minorHAnsi" w:cstheme="minorHAnsi"/>
        </w:rPr>
        <w:t xml:space="preserve">- </w:t>
      </w:r>
      <w:r w:rsidR="00FD3C6A" w:rsidRPr="00AF2D43">
        <w:rPr>
          <w:rFonts w:asciiTheme="minorHAnsi" w:hAnsiTheme="minorHAnsi" w:cstheme="minorHAnsi"/>
        </w:rPr>
        <w:t>Dis</w:t>
      </w:r>
      <w:r w:rsidRPr="00AF2D43">
        <w:rPr>
          <w:rFonts w:asciiTheme="minorHAnsi" w:hAnsiTheme="minorHAnsi" w:cstheme="minorHAnsi"/>
        </w:rPr>
        <w:t>cu</w:t>
      </w:r>
      <w:r w:rsidR="00FD3C6A" w:rsidRPr="00AF2D43">
        <w:rPr>
          <w:rFonts w:asciiTheme="minorHAnsi" w:hAnsiTheme="minorHAnsi" w:cstheme="minorHAnsi"/>
        </w:rPr>
        <w:t>ssion of</w:t>
      </w:r>
      <w:r w:rsidRPr="00AF2D43">
        <w:rPr>
          <w:rFonts w:asciiTheme="minorHAnsi" w:hAnsiTheme="minorHAnsi" w:cstheme="minorHAnsi"/>
        </w:rPr>
        <w:t xml:space="preserve"> the rules and procedures for organizations that seek recognition of exemption from federal income tax under section 501(a) of the Internal Revenue Code (the Code).</w:t>
      </w:r>
    </w:p>
    <w:p w14:paraId="6A574377" w14:textId="26152EED" w:rsidR="00385100" w:rsidRPr="00AF2D43" w:rsidRDefault="00385100" w:rsidP="00176475">
      <w:pPr>
        <w:pStyle w:val="NormalWeb"/>
        <w:shd w:val="clear" w:color="auto" w:fill="FFFFFF"/>
        <w:spacing w:before="240" w:beforeAutospacing="0" w:after="120" w:afterAutospacing="0"/>
        <w:ind w:left="720"/>
        <w:rPr>
          <w:rFonts w:asciiTheme="minorHAnsi" w:hAnsiTheme="minorHAnsi" w:cstheme="minorHAnsi"/>
        </w:rPr>
      </w:pPr>
      <w:r w:rsidRPr="00AF2D43">
        <w:rPr>
          <w:rFonts w:asciiTheme="minorHAnsi" w:hAnsiTheme="minorHAnsi" w:cstheme="minorHAnsi"/>
          <w:b/>
        </w:rPr>
        <w:lastRenderedPageBreak/>
        <w:t xml:space="preserve">Attorney General’s Guide for Charities </w:t>
      </w:r>
      <w:r w:rsidR="00176475" w:rsidRPr="00AF2D43">
        <w:rPr>
          <w:rFonts w:asciiTheme="minorHAnsi" w:hAnsiTheme="minorHAnsi" w:cstheme="minorHAnsi"/>
          <w:b/>
        </w:rPr>
        <w:t>(</w:t>
      </w:r>
      <w:hyperlink r:id="rId10" w:history="1">
        <w:r w:rsidR="00176475" w:rsidRPr="00AF2D43">
          <w:rPr>
            <w:rStyle w:val="Hyperlink"/>
            <w:rFonts w:asciiTheme="minorHAnsi" w:hAnsiTheme="minorHAnsi" w:cstheme="minorHAnsi"/>
            <w:b/>
          </w:rPr>
          <w:t>https://oag.ca.gov/sites/all/files/agweb/pdfs/charities/publications/guide_for_charities.pdf</w:t>
        </w:r>
      </w:hyperlink>
      <w:r w:rsidR="00176475" w:rsidRPr="00AF2D43">
        <w:rPr>
          <w:rFonts w:asciiTheme="minorHAnsi" w:hAnsiTheme="minorHAnsi" w:cstheme="minorHAnsi"/>
          <w:b/>
        </w:rPr>
        <w:t xml:space="preserve">) </w:t>
      </w:r>
      <w:r w:rsidRPr="00AF2D43">
        <w:rPr>
          <w:rFonts w:asciiTheme="minorHAnsi" w:hAnsiTheme="minorHAnsi" w:cstheme="minorHAnsi"/>
        </w:rPr>
        <w:t xml:space="preserve">– Best practices for nonprofits that operate or fundraise in </w:t>
      </w:r>
      <w:r w:rsidR="009761AD" w:rsidRPr="00AF2D43">
        <w:rPr>
          <w:rFonts w:asciiTheme="minorHAnsi" w:hAnsiTheme="minorHAnsi" w:cstheme="minorHAnsi"/>
        </w:rPr>
        <w:t>California.</w:t>
      </w:r>
    </w:p>
    <w:p w14:paraId="30C42817" w14:textId="77777777" w:rsidR="0092087F" w:rsidRPr="00AF2D43" w:rsidRDefault="0092087F" w:rsidP="00974015">
      <w:pPr>
        <w:pStyle w:val="NormalWeb"/>
        <w:shd w:val="clear" w:color="auto" w:fill="FFFFFF"/>
        <w:spacing w:before="0" w:beforeAutospacing="0" w:after="120" w:afterAutospacing="0"/>
        <w:ind w:left="720"/>
        <w:rPr>
          <w:rFonts w:asciiTheme="minorHAnsi" w:hAnsiTheme="minorHAnsi" w:cstheme="minorHAnsi"/>
        </w:rPr>
      </w:pPr>
    </w:p>
    <w:sectPr w:rsidR="0092087F" w:rsidRPr="00AF2D43" w:rsidSect="00C41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3B00"/>
    <w:multiLevelType w:val="hybridMultilevel"/>
    <w:tmpl w:val="6848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244B5"/>
    <w:multiLevelType w:val="hybridMultilevel"/>
    <w:tmpl w:val="28DE3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E75D0"/>
    <w:multiLevelType w:val="hybridMultilevel"/>
    <w:tmpl w:val="18DE4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D4BA7"/>
    <w:multiLevelType w:val="hybridMultilevel"/>
    <w:tmpl w:val="FB6AD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72411"/>
    <w:multiLevelType w:val="hybridMultilevel"/>
    <w:tmpl w:val="93D6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76293"/>
    <w:multiLevelType w:val="hybridMultilevel"/>
    <w:tmpl w:val="582CE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A0D5C"/>
    <w:multiLevelType w:val="hybridMultilevel"/>
    <w:tmpl w:val="53DC9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85209F"/>
    <w:multiLevelType w:val="hybridMultilevel"/>
    <w:tmpl w:val="648A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3F5535"/>
    <w:multiLevelType w:val="hybridMultilevel"/>
    <w:tmpl w:val="2238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045A51"/>
    <w:multiLevelType w:val="hybridMultilevel"/>
    <w:tmpl w:val="359855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B845766"/>
    <w:multiLevelType w:val="hybridMultilevel"/>
    <w:tmpl w:val="5FBAC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07754C"/>
    <w:multiLevelType w:val="hybridMultilevel"/>
    <w:tmpl w:val="51DA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901507"/>
    <w:multiLevelType w:val="hybridMultilevel"/>
    <w:tmpl w:val="8278D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1B0D6B"/>
    <w:multiLevelType w:val="hybridMultilevel"/>
    <w:tmpl w:val="0AAAA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137ADC"/>
    <w:multiLevelType w:val="hybridMultilevel"/>
    <w:tmpl w:val="31C47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DC291A"/>
    <w:multiLevelType w:val="hybridMultilevel"/>
    <w:tmpl w:val="177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5F3BD2"/>
    <w:multiLevelType w:val="hybridMultilevel"/>
    <w:tmpl w:val="730E46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5"/>
  </w:num>
  <w:num w:numId="3">
    <w:abstractNumId w:val="0"/>
  </w:num>
  <w:num w:numId="4">
    <w:abstractNumId w:val="2"/>
  </w:num>
  <w:num w:numId="5">
    <w:abstractNumId w:val="3"/>
  </w:num>
  <w:num w:numId="6">
    <w:abstractNumId w:val="10"/>
  </w:num>
  <w:num w:numId="7">
    <w:abstractNumId w:val="12"/>
  </w:num>
  <w:num w:numId="8">
    <w:abstractNumId w:val="13"/>
  </w:num>
  <w:num w:numId="9">
    <w:abstractNumId w:val="9"/>
  </w:num>
  <w:num w:numId="10">
    <w:abstractNumId w:val="11"/>
  </w:num>
  <w:num w:numId="11">
    <w:abstractNumId w:val="15"/>
  </w:num>
  <w:num w:numId="12">
    <w:abstractNumId w:val="6"/>
  </w:num>
  <w:num w:numId="13">
    <w:abstractNumId w:val="14"/>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4"/>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46B"/>
    <w:rsid w:val="00016F66"/>
    <w:rsid w:val="00017EBB"/>
    <w:rsid w:val="00066B08"/>
    <w:rsid w:val="00071DBB"/>
    <w:rsid w:val="00080D8A"/>
    <w:rsid w:val="000836BF"/>
    <w:rsid w:val="000D1984"/>
    <w:rsid w:val="000F795C"/>
    <w:rsid w:val="001068E3"/>
    <w:rsid w:val="001259AE"/>
    <w:rsid w:val="0014346B"/>
    <w:rsid w:val="00143846"/>
    <w:rsid w:val="00176475"/>
    <w:rsid w:val="001A2223"/>
    <w:rsid w:val="001A69EC"/>
    <w:rsid w:val="001B6063"/>
    <w:rsid w:val="001F56FA"/>
    <w:rsid w:val="00240BF2"/>
    <w:rsid w:val="00240F29"/>
    <w:rsid w:val="00251AE9"/>
    <w:rsid w:val="002B410D"/>
    <w:rsid w:val="002E3C6E"/>
    <w:rsid w:val="00376040"/>
    <w:rsid w:val="00377EF5"/>
    <w:rsid w:val="00385100"/>
    <w:rsid w:val="00386A7F"/>
    <w:rsid w:val="00394B2A"/>
    <w:rsid w:val="003F5FC6"/>
    <w:rsid w:val="00425979"/>
    <w:rsid w:val="004350EA"/>
    <w:rsid w:val="0044437D"/>
    <w:rsid w:val="00454294"/>
    <w:rsid w:val="00481AE4"/>
    <w:rsid w:val="00482DE4"/>
    <w:rsid w:val="004F5E9E"/>
    <w:rsid w:val="00505558"/>
    <w:rsid w:val="0051009C"/>
    <w:rsid w:val="00532EB7"/>
    <w:rsid w:val="0054251C"/>
    <w:rsid w:val="005F4E32"/>
    <w:rsid w:val="0061008F"/>
    <w:rsid w:val="0061498E"/>
    <w:rsid w:val="0062599C"/>
    <w:rsid w:val="00640890"/>
    <w:rsid w:val="00673C12"/>
    <w:rsid w:val="00683DC7"/>
    <w:rsid w:val="00686639"/>
    <w:rsid w:val="00690C2B"/>
    <w:rsid w:val="006E2E6E"/>
    <w:rsid w:val="00720DA9"/>
    <w:rsid w:val="00730611"/>
    <w:rsid w:val="00755D8B"/>
    <w:rsid w:val="007A1670"/>
    <w:rsid w:val="007F5179"/>
    <w:rsid w:val="008010D5"/>
    <w:rsid w:val="00802868"/>
    <w:rsid w:val="00853A6D"/>
    <w:rsid w:val="008948A9"/>
    <w:rsid w:val="008E24D2"/>
    <w:rsid w:val="0091268C"/>
    <w:rsid w:val="0092087F"/>
    <w:rsid w:val="00974015"/>
    <w:rsid w:val="009761AD"/>
    <w:rsid w:val="009842FA"/>
    <w:rsid w:val="009A7047"/>
    <w:rsid w:val="009D2905"/>
    <w:rsid w:val="009F27EC"/>
    <w:rsid w:val="00A31F27"/>
    <w:rsid w:val="00A666BE"/>
    <w:rsid w:val="00AC3A52"/>
    <w:rsid w:val="00AD462F"/>
    <w:rsid w:val="00AE37FF"/>
    <w:rsid w:val="00AF2D43"/>
    <w:rsid w:val="00B31681"/>
    <w:rsid w:val="00B321D1"/>
    <w:rsid w:val="00B71C49"/>
    <w:rsid w:val="00BA287E"/>
    <w:rsid w:val="00BA2F6C"/>
    <w:rsid w:val="00BC2BE1"/>
    <w:rsid w:val="00BE0640"/>
    <w:rsid w:val="00BF1876"/>
    <w:rsid w:val="00C02AFC"/>
    <w:rsid w:val="00C3033B"/>
    <w:rsid w:val="00C41D85"/>
    <w:rsid w:val="00C432B7"/>
    <w:rsid w:val="00C47B95"/>
    <w:rsid w:val="00C7263D"/>
    <w:rsid w:val="00C85751"/>
    <w:rsid w:val="00CA3FB1"/>
    <w:rsid w:val="00CD5DC6"/>
    <w:rsid w:val="00D06161"/>
    <w:rsid w:val="00D07108"/>
    <w:rsid w:val="00D37957"/>
    <w:rsid w:val="00D71EC6"/>
    <w:rsid w:val="00D76805"/>
    <w:rsid w:val="00D8782A"/>
    <w:rsid w:val="00DC3A5C"/>
    <w:rsid w:val="00E17655"/>
    <w:rsid w:val="00E1773E"/>
    <w:rsid w:val="00E363D9"/>
    <w:rsid w:val="00E61967"/>
    <w:rsid w:val="00E90FD7"/>
    <w:rsid w:val="00EC2969"/>
    <w:rsid w:val="00ED039A"/>
    <w:rsid w:val="00F11340"/>
    <w:rsid w:val="00F424AC"/>
    <w:rsid w:val="00F6569D"/>
    <w:rsid w:val="00F91B0E"/>
    <w:rsid w:val="00FD3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6655E"/>
  <w15:docId w15:val="{F78256A4-4199-4CEE-93F3-5586F854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D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DC7"/>
    <w:pPr>
      <w:ind w:left="720"/>
      <w:contextualSpacing/>
    </w:pPr>
  </w:style>
  <w:style w:type="paragraph" w:styleId="BalloonText">
    <w:name w:val="Balloon Text"/>
    <w:basedOn w:val="Normal"/>
    <w:link w:val="BalloonTextChar"/>
    <w:uiPriority w:val="99"/>
    <w:semiHidden/>
    <w:unhideWhenUsed/>
    <w:rsid w:val="004443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37D"/>
    <w:rPr>
      <w:rFonts w:ascii="Segoe UI" w:hAnsi="Segoe UI" w:cs="Segoe UI"/>
      <w:sz w:val="18"/>
      <w:szCs w:val="18"/>
    </w:rPr>
  </w:style>
  <w:style w:type="character" w:styleId="Hyperlink">
    <w:name w:val="Hyperlink"/>
    <w:basedOn w:val="DefaultParagraphFont"/>
    <w:uiPriority w:val="99"/>
    <w:unhideWhenUsed/>
    <w:rsid w:val="0091268C"/>
    <w:rPr>
      <w:color w:val="0563C1" w:themeColor="hyperlink"/>
      <w:u w:val="single"/>
    </w:rPr>
  </w:style>
  <w:style w:type="paragraph" w:styleId="NormalWeb">
    <w:name w:val="Normal (Web)"/>
    <w:basedOn w:val="Normal"/>
    <w:uiPriority w:val="99"/>
    <w:unhideWhenUsed/>
    <w:rsid w:val="0097401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82DE4"/>
    <w:rPr>
      <w:color w:val="954F72" w:themeColor="followedHyperlink"/>
      <w:u w:val="single"/>
    </w:rPr>
  </w:style>
  <w:style w:type="character" w:customStyle="1" w:styleId="UnresolvedMention1">
    <w:name w:val="Unresolved Mention1"/>
    <w:basedOn w:val="DefaultParagraphFont"/>
    <w:uiPriority w:val="99"/>
    <w:semiHidden/>
    <w:unhideWhenUsed/>
    <w:rsid w:val="002E3C6E"/>
    <w:rPr>
      <w:color w:val="605E5C"/>
      <w:shd w:val="clear" w:color="auto" w:fill="E1DFDD"/>
    </w:rPr>
  </w:style>
  <w:style w:type="paragraph" w:customStyle="1" w:styleId="Default">
    <w:name w:val="Default"/>
    <w:rsid w:val="00C85751"/>
    <w:pPr>
      <w:autoSpaceDE w:val="0"/>
      <w:autoSpaceDN w:val="0"/>
      <w:adjustRightInd w:val="0"/>
      <w:spacing w:after="0" w:line="240" w:lineRule="auto"/>
    </w:pPr>
    <w:rPr>
      <w:rFonts w:ascii="HelveticaNeueLT Std" w:hAnsi="HelveticaNeueLT Std" w:cs="HelveticaNeueLT Std"/>
      <w:color w:val="000000"/>
      <w:sz w:val="24"/>
      <w:szCs w:val="24"/>
    </w:rPr>
  </w:style>
  <w:style w:type="character" w:styleId="CommentReference">
    <w:name w:val="annotation reference"/>
    <w:basedOn w:val="DefaultParagraphFont"/>
    <w:uiPriority w:val="99"/>
    <w:semiHidden/>
    <w:unhideWhenUsed/>
    <w:rsid w:val="003F5FC6"/>
    <w:rPr>
      <w:sz w:val="16"/>
      <w:szCs w:val="16"/>
    </w:rPr>
  </w:style>
  <w:style w:type="paragraph" w:styleId="CommentText">
    <w:name w:val="annotation text"/>
    <w:basedOn w:val="Normal"/>
    <w:link w:val="CommentTextChar"/>
    <w:uiPriority w:val="99"/>
    <w:semiHidden/>
    <w:unhideWhenUsed/>
    <w:rsid w:val="003F5FC6"/>
    <w:pPr>
      <w:spacing w:line="240" w:lineRule="auto"/>
    </w:pPr>
    <w:rPr>
      <w:sz w:val="20"/>
      <w:szCs w:val="20"/>
    </w:rPr>
  </w:style>
  <w:style w:type="character" w:customStyle="1" w:styleId="CommentTextChar">
    <w:name w:val="Comment Text Char"/>
    <w:basedOn w:val="DefaultParagraphFont"/>
    <w:link w:val="CommentText"/>
    <w:uiPriority w:val="99"/>
    <w:semiHidden/>
    <w:rsid w:val="003F5FC6"/>
    <w:rPr>
      <w:sz w:val="20"/>
      <w:szCs w:val="20"/>
    </w:rPr>
  </w:style>
  <w:style w:type="paragraph" w:styleId="CommentSubject">
    <w:name w:val="annotation subject"/>
    <w:basedOn w:val="CommentText"/>
    <w:next w:val="CommentText"/>
    <w:link w:val="CommentSubjectChar"/>
    <w:uiPriority w:val="99"/>
    <w:semiHidden/>
    <w:unhideWhenUsed/>
    <w:rsid w:val="003F5FC6"/>
    <w:rPr>
      <w:b/>
      <w:bCs/>
    </w:rPr>
  </w:style>
  <w:style w:type="character" w:customStyle="1" w:styleId="CommentSubjectChar">
    <w:name w:val="Comment Subject Char"/>
    <w:basedOn w:val="CommentTextChar"/>
    <w:link w:val="CommentSubject"/>
    <w:uiPriority w:val="99"/>
    <w:semiHidden/>
    <w:rsid w:val="003F5F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480770">
      <w:bodyDiv w:val="1"/>
      <w:marLeft w:val="0"/>
      <w:marRight w:val="0"/>
      <w:marTop w:val="0"/>
      <w:marBottom w:val="0"/>
      <w:divBdr>
        <w:top w:val="none" w:sz="0" w:space="0" w:color="auto"/>
        <w:left w:val="none" w:sz="0" w:space="0" w:color="auto"/>
        <w:bottom w:val="none" w:sz="0" w:space="0" w:color="auto"/>
        <w:right w:val="none" w:sz="0" w:space="0" w:color="auto"/>
      </w:divBdr>
    </w:div>
    <w:div w:id="141061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pub/irs-pdf/p4221pc.pdf" TargetMode="External"/><Relationship Id="rId3" Type="http://schemas.openxmlformats.org/officeDocument/2006/relationships/styles" Target="styles.xml"/><Relationship Id="rId7" Type="http://schemas.openxmlformats.org/officeDocument/2006/relationships/hyperlink" Target="https://specialprojectsfund-ca.aauw.ne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pps.irs.gov/app/eo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ag.ca.gov/sites/all/files/agweb/pdfs/charities/publications/guide_for_charities.pdf" TargetMode="External"/><Relationship Id="rId4" Type="http://schemas.openxmlformats.org/officeDocument/2006/relationships/settings" Target="settings.xml"/><Relationship Id="rId9" Type="http://schemas.openxmlformats.org/officeDocument/2006/relationships/hyperlink" Target="https://www.irs.gov/pub/irs-pdf/p55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02BB1A-A846-454B-A136-1FA73D377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1512</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Schmalz</dc:creator>
  <cp:lastModifiedBy>Roli Wendorf</cp:lastModifiedBy>
  <cp:revision>3</cp:revision>
  <cp:lastPrinted>2021-02-11T00:16:00Z</cp:lastPrinted>
  <dcterms:created xsi:type="dcterms:W3CDTF">2021-05-27T17:59:00Z</dcterms:created>
  <dcterms:modified xsi:type="dcterms:W3CDTF">2021-05-27T18:00:00Z</dcterms:modified>
</cp:coreProperties>
</file>