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22" w:rsidRPr="001A30AF" w:rsidRDefault="002B563A" w:rsidP="001A30AF">
      <w:pPr>
        <w:pStyle w:val="NoSpacing"/>
        <w:jc w:val="center"/>
        <w:rPr>
          <w:rFonts w:asciiTheme="majorHAnsi" w:hAnsiTheme="majorHAnsi" w:cstheme="majorHAnsi"/>
          <w:b/>
          <w:sz w:val="28"/>
          <w:szCs w:val="28"/>
        </w:rPr>
      </w:pPr>
      <w:r>
        <w:rPr>
          <w:rFonts w:asciiTheme="majorHAnsi" w:hAnsiTheme="majorHAnsi" w:cstheme="majorHAnsi"/>
          <w:b/>
          <w:sz w:val="28"/>
          <w:szCs w:val="28"/>
        </w:rPr>
        <w:t xml:space="preserve">BRANCH </w:t>
      </w:r>
      <w:r w:rsidR="001A30AF" w:rsidRPr="001A30AF">
        <w:rPr>
          <w:rFonts w:asciiTheme="majorHAnsi" w:hAnsiTheme="majorHAnsi" w:cstheme="majorHAnsi"/>
          <w:b/>
          <w:sz w:val="28"/>
          <w:szCs w:val="28"/>
        </w:rPr>
        <w:t>ASSESSMENTS</w:t>
      </w:r>
    </w:p>
    <w:p w:rsidR="001A30AF" w:rsidRDefault="002B563A" w:rsidP="001A30AF">
      <w:pPr>
        <w:jc w:val="center"/>
        <w:rPr>
          <w:rFonts w:asciiTheme="majorHAnsi" w:hAnsiTheme="majorHAnsi" w:cstheme="majorHAnsi"/>
          <w:sz w:val="28"/>
          <w:szCs w:val="28"/>
        </w:rPr>
      </w:pPr>
      <w:r>
        <w:rPr>
          <w:rFonts w:asciiTheme="majorHAnsi" w:hAnsiTheme="majorHAnsi" w:cstheme="majorHAnsi"/>
          <w:sz w:val="28"/>
          <w:szCs w:val="28"/>
        </w:rPr>
        <w:t>And h</w:t>
      </w:r>
      <w:r w:rsidR="001A30AF" w:rsidRPr="001A30AF">
        <w:rPr>
          <w:rFonts w:asciiTheme="majorHAnsi" w:hAnsiTheme="majorHAnsi" w:cstheme="majorHAnsi"/>
          <w:sz w:val="28"/>
          <w:szCs w:val="28"/>
        </w:rPr>
        <w:t>ow they are calculated</w:t>
      </w:r>
    </w:p>
    <w:p w:rsidR="001A30AF" w:rsidRPr="00803749" w:rsidRDefault="001A30AF" w:rsidP="001A30AF">
      <w:pPr>
        <w:rPr>
          <w:rFonts w:ascii="Arial" w:hAnsi="Arial" w:cs="Arial"/>
          <w:b/>
        </w:rPr>
      </w:pPr>
      <w:r w:rsidRPr="00803749">
        <w:rPr>
          <w:rFonts w:ascii="Arial" w:hAnsi="Arial" w:cs="Arial"/>
          <w:b/>
        </w:rPr>
        <w:t xml:space="preserve">Insurance Assessments  </w:t>
      </w:r>
    </w:p>
    <w:p w:rsidR="001A30AF" w:rsidRPr="00F3537E" w:rsidRDefault="00803749" w:rsidP="001A30AF">
      <w:pPr>
        <w:rPr>
          <w:rFonts w:ascii="Arial" w:hAnsi="Arial" w:cs="Arial"/>
        </w:rPr>
      </w:pPr>
      <w:r>
        <w:rPr>
          <w:rFonts w:ascii="Arial" w:hAnsi="Arial" w:cs="Arial"/>
        </w:rPr>
        <w:t>In accordance with</w:t>
      </w:r>
      <w:r w:rsidR="001A30AF" w:rsidRPr="00F3537E">
        <w:rPr>
          <w:rFonts w:ascii="Arial" w:hAnsi="Arial" w:cs="Arial"/>
        </w:rPr>
        <w:t xml:space="preserve"> AAUW-CA Policy Section 1000:  Financial Administration, Policy 1005, all branches in the state of California must participate in the state insurance program. </w:t>
      </w:r>
    </w:p>
    <w:p w:rsidR="001A30AF" w:rsidRPr="00F3537E" w:rsidRDefault="001A30AF" w:rsidP="001A30AF">
      <w:pPr>
        <w:rPr>
          <w:rFonts w:ascii="Arial" w:hAnsi="Arial" w:cs="Arial"/>
        </w:rPr>
      </w:pPr>
      <w:r w:rsidRPr="00F3537E">
        <w:rPr>
          <w:rFonts w:ascii="Arial" w:hAnsi="Arial" w:cs="Arial"/>
        </w:rPr>
        <w:t xml:space="preserve">A branch must </w:t>
      </w:r>
      <w:r w:rsidR="00803749">
        <w:rPr>
          <w:rFonts w:ascii="Arial" w:hAnsi="Arial" w:cs="Arial"/>
        </w:rPr>
        <w:t>pay for</w:t>
      </w:r>
      <w:r w:rsidR="00803749" w:rsidRPr="00F3537E">
        <w:rPr>
          <w:rFonts w:ascii="Arial" w:hAnsi="Arial" w:cs="Arial"/>
        </w:rPr>
        <w:t xml:space="preserve"> insurance</w:t>
      </w:r>
      <w:r w:rsidRPr="00F3537E">
        <w:rPr>
          <w:rFonts w:ascii="Arial" w:hAnsi="Arial" w:cs="Arial"/>
        </w:rPr>
        <w:t xml:space="preserve"> coverage each year to be in good standing. The stat</w:t>
      </w:r>
      <w:r w:rsidR="00803749">
        <w:rPr>
          <w:rFonts w:ascii="Arial" w:hAnsi="Arial" w:cs="Arial"/>
        </w:rPr>
        <w:t>e office will bill branches for</w:t>
      </w:r>
      <w:r w:rsidRPr="00F3537E">
        <w:rPr>
          <w:rFonts w:ascii="Arial" w:hAnsi="Arial" w:cs="Arial"/>
        </w:rPr>
        <w:t xml:space="preserve"> the cost of their insurance coverage each year. The branch</w:t>
      </w:r>
      <w:r w:rsidR="00803749">
        <w:rPr>
          <w:rFonts w:ascii="Arial" w:hAnsi="Arial" w:cs="Arial"/>
        </w:rPr>
        <w:t xml:space="preserve"> share of the total premium is </w:t>
      </w:r>
      <w:r w:rsidRPr="00F3537E">
        <w:rPr>
          <w:rFonts w:ascii="Arial" w:hAnsi="Arial" w:cs="Arial"/>
        </w:rPr>
        <w:t>determined using a sliding scale based on branch membershi</w:t>
      </w:r>
      <w:r w:rsidR="00803749">
        <w:rPr>
          <w:rFonts w:ascii="Arial" w:hAnsi="Arial" w:cs="Arial"/>
        </w:rPr>
        <w:t>p as of February 1 of the prior</w:t>
      </w:r>
      <w:r w:rsidRPr="00F3537E">
        <w:rPr>
          <w:rFonts w:ascii="Arial" w:hAnsi="Arial" w:cs="Arial"/>
        </w:rPr>
        <w:t xml:space="preserve"> AAUW year. Payment due date is set each year by the CFO.   </w:t>
      </w:r>
    </w:p>
    <w:p w:rsidR="001A30AF" w:rsidRPr="00F3537E" w:rsidRDefault="001A30AF" w:rsidP="001A30AF">
      <w:pPr>
        <w:rPr>
          <w:rFonts w:ascii="Arial" w:hAnsi="Arial" w:cs="Arial"/>
        </w:rPr>
      </w:pPr>
      <w:r w:rsidRPr="00F3537E">
        <w:rPr>
          <w:rFonts w:ascii="Arial" w:hAnsi="Arial" w:cs="Arial"/>
        </w:rPr>
        <w:t>The insurance policy is in effect from July 1 to June 30</w:t>
      </w:r>
      <w:r w:rsidRPr="00F3537E">
        <w:rPr>
          <w:rFonts w:ascii="Arial" w:hAnsi="Arial" w:cs="Arial"/>
          <w:vertAlign w:val="superscript"/>
        </w:rPr>
        <w:t>th</w:t>
      </w:r>
      <w:r w:rsidRPr="00F3537E">
        <w:rPr>
          <w:rFonts w:ascii="Arial" w:hAnsi="Arial" w:cs="Arial"/>
        </w:rPr>
        <w:t xml:space="preserve"> each year. All claims will be handled through the assigned Insurance Broker. You may request certificates of insurance to cover liability for an event by using the form here on the AAUW-CA website.</w:t>
      </w:r>
      <w:r w:rsidR="00803749">
        <w:rPr>
          <w:rFonts w:ascii="Arial" w:hAnsi="Arial" w:cs="Arial"/>
        </w:rPr>
        <w:t xml:space="preserve"> (Branch Support/Branch Treasurer Resources/AAUW CA State Resources)</w:t>
      </w:r>
    </w:p>
    <w:p w:rsidR="001A30AF" w:rsidRPr="00F3537E" w:rsidRDefault="001A30AF" w:rsidP="001A30AF">
      <w:pPr>
        <w:rPr>
          <w:rFonts w:ascii="Arial" w:hAnsi="Arial" w:cs="Arial"/>
        </w:rPr>
      </w:pPr>
      <w:r w:rsidRPr="00F3537E">
        <w:rPr>
          <w:rFonts w:ascii="Arial" w:hAnsi="Arial" w:cs="Arial"/>
        </w:rPr>
        <w:t xml:space="preserve">Your pro-rata share is based on the branch membership numbers reported by National on February 1st of each year. This makes it extremely important to make sure that the national records are accurate.  </w:t>
      </w:r>
    </w:p>
    <w:p w:rsidR="001A30AF" w:rsidRPr="00803749" w:rsidRDefault="001A30AF" w:rsidP="001A30AF">
      <w:pPr>
        <w:rPr>
          <w:rFonts w:ascii="Arial" w:hAnsi="Arial" w:cs="Arial"/>
          <w:b/>
        </w:rPr>
      </w:pPr>
      <w:r w:rsidRPr="00803749">
        <w:rPr>
          <w:rFonts w:ascii="Arial" w:hAnsi="Arial" w:cs="Arial"/>
          <w:b/>
        </w:rPr>
        <w:t xml:space="preserve">Fund Assessments  </w:t>
      </w:r>
    </w:p>
    <w:p w:rsidR="00803749" w:rsidRDefault="001A30AF" w:rsidP="001A30AF">
      <w:pPr>
        <w:rPr>
          <w:rFonts w:ascii="Arial" w:hAnsi="Arial" w:cs="Arial"/>
        </w:rPr>
      </w:pPr>
      <w:r w:rsidRPr="00F3537E">
        <w:rPr>
          <w:rFonts w:ascii="Arial" w:hAnsi="Arial" w:cs="Arial"/>
        </w:rPr>
        <w:t>Fund assessments were formerly known as EF Assessments. Each branch is assessed based on the February 1st membership count from National using the following scale</w:t>
      </w:r>
      <w:r w:rsidR="00803749">
        <w:rPr>
          <w:rFonts w:ascii="Arial" w:hAnsi="Arial" w:cs="Arial"/>
        </w:rPr>
        <w:t xml:space="preserve">.  </w:t>
      </w:r>
    </w:p>
    <w:tbl>
      <w:tblPr>
        <w:tblStyle w:val="TableGrid"/>
        <w:tblW w:w="0" w:type="auto"/>
        <w:tblLook w:val="04A0"/>
      </w:tblPr>
      <w:tblGrid>
        <w:gridCol w:w="4788"/>
        <w:gridCol w:w="4788"/>
      </w:tblGrid>
      <w:tr w:rsidR="00803749" w:rsidTr="00803749">
        <w:tc>
          <w:tcPr>
            <w:tcW w:w="4788" w:type="dxa"/>
          </w:tcPr>
          <w:p w:rsidR="00803749" w:rsidRPr="00803749" w:rsidRDefault="00803749" w:rsidP="00803749">
            <w:pPr>
              <w:jc w:val="center"/>
              <w:rPr>
                <w:rFonts w:ascii="Arial" w:hAnsi="Arial" w:cs="Arial"/>
                <w:b/>
              </w:rPr>
            </w:pPr>
            <w:r w:rsidRPr="00803749">
              <w:rPr>
                <w:rFonts w:ascii="Arial" w:hAnsi="Arial" w:cs="Arial"/>
                <w:b/>
              </w:rPr>
              <w:t>Number of Members</w:t>
            </w:r>
          </w:p>
        </w:tc>
        <w:tc>
          <w:tcPr>
            <w:tcW w:w="4788" w:type="dxa"/>
          </w:tcPr>
          <w:p w:rsidR="00803749" w:rsidRPr="00803749" w:rsidRDefault="00803749" w:rsidP="00803749">
            <w:pPr>
              <w:jc w:val="center"/>
              <w:rPr>
                <w:rFonts w:ascii="Arial" w:hAnsi="Arial" w:cs="Arial"/>
                <w:b/>
              </w:rPr>
            </w:pPr>
            <w:r w:rsidRPr="00803749">
              <w:rPr>
                <w:rFonts w:ascii="Arial" w:hAnsi="Arial" w:cs="Arial"/>
                <w:b/>
              </w:rPr>
              <w:t>Amount</w:t>
            </w:r>
          </w:p>
        </w:tc>
      </w:tr>
      <w:tr w:rsidR="00803749" w:rsidTr="00803749">
        <w:tc>
          <w:tcPr>
            <w:tcW w:w="4788" w:type="dxa"/>
          </w:tcPr>
          <w:p w:rsidR="00803749" w:rsidRDefault="00803749" w:rsidP="00803749">
            <w:pPr>
              <w:jc w:val="center"/>
              <w:rPr>
                <w:rFonts w:ascii="Arial" w:hAnsi="Arial" w:cs="Arial"/>
              </w:rPr>
            </w:pPr>
            <w:r>
              <w:rPr>
                <w:rFonts w:ascii="Arial" w:hAnsi="Arial" w:cs="Arial"/>
              </w:rPr>
              <w:t>1 – 25</w:t>
            </w:r>
          </w:p>
        </w:tc>
        <w:tc>
          <w:tcPr>
            <w:tcW w:w="4788" w:type="dxa"/>
          </w:tcPr>
          <w:p w:rsidR="00803749" w:rsidRDefault="00803749" w:rsidP="00803749">
            <w:pPr>
              <w:jc w:val="center"/>
              <w:rPr>
                <w:rFonts w:ascii="Arial" w:hAnsi="Arial" w:cs="Arial"/>
              </w:rPr>
            </w:pPr>
            <w:r>
              <w:rPr>
                <w:rFonts w:ascii="Arial" w:hAnsi="Arial" w:cs="Arial"/>
              </w:rPr>
              <w:t>$ 10</w:t>
            </w:r>
          </w:p>
        </w:tc>
      </w:tr>
      <w:tr w:rsidR="00803749" w:rsidTr="00803749">
        <w:tc>
          <w:tcPr>
            <w:tcW w:w="4788" w:type="dxa"/>
          </w:tcPr>
          <w:p w:rsidR="00803749" w:rsidRDefault="00803749" w:rsidP="00803749">
            <w:pPr>
              <w:jc w:val="center"/>
              <w:rPr>
                <w:rFonts w:ascii="Arial" w:hAnsi="Arial" w:cs="Arial"/>
              </w:rPr>
            </w:pPr>
            <w:r>
              <w:rPr>
                <w:rFonts w:ascii="Arial" w:hAnsi="Arial" w:cs="Arial"/>
              </w:rPr>
              <w:t>26-75</w:t>
            </w:r>
          </w:p>
        </w:tc>
        <w:tc>
          <w:tcPr>
            <w:tcW w:w="4788" w:type="dxa"/>
          </w:tcPr>
          <w:p w:rsidR="00803749" w:rsidRDefault="00803749" w:rsidP="00803749">
            <w:pPr>
              <w:jc w:val="center"/>
              <w:rPr>
                <w:rFonts w:ascii="Arial" w:hAnsi="Arial" w:cs="Arial"/>
              </w:rPr>
            </w:pPr>
            <w:r>
              <w:rPr>
                <w:rFonts w:ascii="Arial" w:hAnsi="Arial" w:cs="Arial"/>
              </w:rPr>
              <w:t>$ 40</w:t>
            </w:r>
          </w:p>
        </w:tc>
      </w:tr>
      <w:tr w:rsidR="00803749" w:rsidTr="00803749">
        <w:tc>
          <w:tcPr>
            <w:tcW w:w="4788" w:type="dxa"/>
          </w:tcPr>
          <w:p w:rsidR="00803749" w:rsidRDefault="00803749" w:rsidP="00803749">
            <w:pPr>
              <w:jc w:val="center"/>
              <w:rPr>
                <w:rFonts w:ascii="Arial" w:hAnsi="Arial" w:cs="Arial"/>
              </w:rPr>
            </w:pPr>
            <w:r>
              <w:rPr>
                <w:rFonts w:ascii="Arial" w:hAnsi="Arial" w:cs="Arial"/>
              </w:rPr>
              <w:t>76-175</w:t>
            </w:r>
          </w:p>
        </w:tc>
        <w:tc>
          <w:tcPr>
            <w:tcW w:w="4788" w:type="dxa"/>
          </w:tcPr>
          <w:p w:rsidR="00803749" w:rsidRDefault="00803749" w:rsidP="00803749">
            <w:pPr>
              <w:jc w:val="center"/>
              <w:rPr>
                <w:rFonts w:ascii="Arial" w:hAnsi="Arial" w:cs="Arial"/>
              </w:rPr>
            </w:pPr>
            <w:r>
              <w:rPr>
                <w:rFonts w:ascii="Arial" w:hAnsi="Arial" w:cs="Arial"/>
              </w:rPr>
              <w:t>$ 65</w:t>
            </w:r>
          </w:p>
        </w:tc>
      </w:tr>
      <w:tr w:rsidR="00803749" w:rsidTr="00803749">
        <w:tc>
          <w:tcPr>
            <w:tcW w:w="4788" w:type="dxa"/>
          </w:tcPr>
          <w:p w:rsidR="00803749" w:rsidRDefault="00803749" w:rsidP="00803749">
            <w:pPr>
              <w:jc w:val="center"/>
              <w:rPr>
                <w:rFonts w:ascii="Arial" w:hAnsi="Arial" w:cs="Arial"/>
              </w:rPr>
            </w:pPr>
            <w:r>
              <w:rPr>
                <w:rFonts w:ascii="Arial" w:hAnsi="Arial" w:cs="Arial"/>
              </w:rPr>
              <w:t>176 – 300</w:t>
            </w:r>
          </w:p>
        </w:tc>
        <w:tc>
          <w:tcPr>
            <w:tcW w:w="4788" w:type="dxa"/>
          </w:tcPr>
          <w:p w:rsidR="00803749" w:rsidRDefault="00803749" w:rsidP="00803749">
            <w:pPr>
              <w:jc w:val="center"/>
              <w:rPr>
                <w:rFonts w:ascii="Arial" w:hAnsi="Arial" w:cs="Arial"/>
              </w:rPr>
            </w:pPr>
            <w:r>
              <w:rPr>
                <w:rFonts w:ascii="Arial" w:hAnsi="Arial" w:cs="Arial"/>
              </w:rPr>
              <w:t>$ 90</w:t>
            </w:r>
          </w:p>
        </w:tc>
      </w:tr>
      <w:tr w:rsidR="00803749" w:rsidTr="00803749">
        <w:tc>
          <w:tcPr>
            <w:tcW w:w="4788" w:type="dxa"/>
          </w:tcPr>
          <w:p w:rsidR="00803749" w:rsidRDefault="00803749" w:rsidP="00803749">
            <w:pPr>
              <w:jc w:val="center"/>
              <w:rPr>
                <w:rFonts w:ascii="Arial" w:hAnsi="Arial" w:cs="Arial"/>
              </w:rPr>
            </w:pPr>
            <w:r>
              <w:rPr>
                <w:rFonts w:ascii="Arial" w:hAnsi="Arial" w:cs="Arial"/>
              </w:rPr>
              <w:t>300 – 400</w:t>
            </w:r>
          </w:p>
        </w:tc>
        <w:tc>
          <w:tcPr>
            <w:tcW w:w="4788" w:type="dxa"/>
          </w:tcPr>
          <w:p w:rsidR="00803749" w:rsidRDefault="00803749" w:rsidP="00803749">
            <w:pPr>
              <w:jc w:val="center"/>
              <w:rPr>
                <w:rFonts w:ascii="Arial" w:hAnsi="Arial" w:cs="Arial"/>
              </w:rPr>
            </w:pPr>
            <w:r>
              <w:rPr>
                <w:rFonts w:ascii="Arial" w:hAnsi="Arial" w:cs="Arial"/>
              </w:rPr>
              <w:t>$ 115</w:t>
            </w:r>
          </w:p>
        </w:tc>
      </w:tr>
      <w:tr w:rsidR="00803749" w:rsidTr="00803749">
        <w:tc>
          <w:tcPr>
            <w:tcW w:w="4788" w:type="dxa"/>
          </w:tcPr>
          <w:p w:rsidR="00803749" w:rsidRDefault="00803749" w:rsidP="00803749">
            <w:pPr>
              <w:jc w:val="center"/>
              <w:rPr>
                <w:rFonts w:ascii="Arial" w:hAnsi="Arial" w:cs="Arial"/>
              </w:rPr>
            </w:pPr>
            <w:r>
              <w:rPr>
                <w:rFonts w:ascii="Arial" w:hAnsi="Arial" w:cs="Arial"/>
              </w:rPr>
              <w:t>401 – 600</w:t>
            </w:r>
          </w:p>
        </w:tc>
        <w:tc>
          <w:tcPr>
            <w:tcW w:w="4788" w:type="dxa"/>
          </w:tcPr>
          <w:p w:rsidR="00803749" w:rsidRDefault="00803749" w:rsidP="00803749">
            <w:pPr>
              <w:jc w:val="center"/>
              <w:rPr>
                <w:rFonts w:ascii="Arial" w:hAnsi="Arial" w:cs="Arial"/>
              </w:rPr>
            </w:pPr>
            <w:r>
              <w:rPr>
                <w:rFonts w:ascii="Arial" w:hAnsi="Arial" w:cs="Arial"/>
              </w:rPr>
              <w:t>$ 140</w:t>
            </w:r>
          </w:p>
        </w:tc>
      </w:tr>
      <w:tr w:rsidR="00803749" w:rsidTr="00803749">
        <w:tc>
          <w:tcPr>
            <w:tcW w:w="4788" w:type="dxa"/>
          </w:tcPr>
          <w:p w:rsidR="00803749" w:rsidRDefault="00803749" w:rsidP="00803749">
            <w:pPr>
              <w:jc w:val="center"/>
              <w:rPr>
                <w:rFonts w:ascii="Arial" w:hAnsi="Arial" w:cs="Arial"/>
              </w:rPr>
            </w:pPr>
            <w:r>
              <w:rPr>
                <w:rFonts w:ascii="Arial" w:hAnsi="Arial" w:cs="Arial"/>
              </w:rPr>
              <w:t>Over 600</w:t>
            </w:r>
          </w:p>
        </w:tc>
        <w:tc>
          <w:tcPr>
            <w:tcW w:w="4788" w:type="dxa"/>
          </w:tcPr>
          <w:p w:rsidR="00803749" w:rsidRDefault="00803749" w:rsidP="00803749">
            <w:pPr>
              <w:jc w:val="center"/>
              <w:rPr>
                <w:rFonts w:ascii="Arial" w:hAnsi="Arial" w:cs="Arial"/>
              </w:rPr>
            </w:pPr>
            <w:r>
              <w:rPr>
                <w:rFonts w:ascii="Arial" w:hAnsi="Arial" w:cs="Arial"/>
              </w:rPr>
              <w:t>$</w:t>
            </w:r>
            <w:r w:rsidR="00E86590">
              <w:rPr>
                <w:rFonts w:ascii="Arial" w:hAnsi="Arial" w:cs="Arial"/>
              </w:rPr>
              <w:t xml:space="preserve"> </w:t>
            </w:r>
            <w:r>
              <w:rPr>
                <w:rFonts w:ascii="Arial" w:hAnsi="Arial" w:cs="Arial"/>
              </w:rPr>
              <w:t>165</w:t>
            </w:r>
          </w:p>
        </w:tc>
      </w:tr>
    </w:tbl>
    <w:p w:rsidR="001A30AF" w:rsidRPr="00F3537E" w:rsidRDefault="001A30AF" w:rsidP="001A30AF">
      <w:pPr>
        <w:rPr>
          <w:rFonts w:ascii="Arial" w:hAnsi="Arial" w:cs="Arial"/>
        </w:rPr>
      </w:pPr>
      <w:r w:rsidRPr="00F3537E">
        <w:rPr>
          <w:rFonts w:ascii="Arial" w:hAnsi="Arial" w:cs="Arial"/>
        </w:rPr>
        <w:t xml:space="preserve">:  </w:t>
      </w:r>
    </w:p>
    <w:p w:rsidR="001A30AF" w:rsidRDefault="001A30AF" w:rsidP="00803749">
      <w:pPr>
        <w:pStyle w:val="NoSpacing"/>
        <w:rPr>
          <w:rFonts w:ascii="Arial" w:hAnsi="Arial" w:cs="Arial"/>
        </w:rPr>
      </w:pPr>
      <w:r w:rsidRPr="00F3537E">
        <w:rPr>
          <w:rFonts w:ascii="Arial" w:hAnsi="Arial" w:cs="Arial"/>
        </w:rPr>
        <w:t xml:space="preserve">These assessments must be used according to the current AAUW-CA Policy 902.3.4 AAUW Funds Committee.  </w:t>
      </w:r>
    </w:p>
    <w:p w:rsidR="00803749" w:rsidRPr="00F3537E" w:rsidRDefault="00803749" w:rsidP="00803749">
      <w:pPr>
        <w:pStyle w:val="NoSpacing"/>
        <w:rPr>
          <w:rFonts w:ascii="Arial" w:hAnsi="Arial" w:cs="Arial"/>
        </w:rPr>
      </w:pPr>
    </w:p>
    <w:p w:rsidR="001A30AF" w:rsidRPr="00F3537E" w:rsidRDefault="001A30AF" w:rsidP="001A30AF">
      <w:pPr>
        <w:rPr>
          <w:rFonts w:ascii="Arial" w:hAnsi="Arial" w:cs="Arial"/>
        </w:rPr>
      </w:pPr>
      <w:r w:rsidRPr="00F3537E">
        <w:rPr>
          <w:rFonts w:ascii="Arial" w:hAnsi="Arial" w:cs="Arial"/>
        </w:rPr>
        <w:t xml:space="preserve">The committee selects open endowments to be completed and recommends approval to the board. A series of state resolutions, with the latest in 1986, directs that the assessments collected from the branches shall be used for California endowments which are incomplete. The AAUW Fund committee will make the decision as to which endowments these monies collected will complete.   </w:t>
      </w:r>
    </w:p>
    <w:p w:rsidR="001A30AF" w:rsidRPr="001A30AF" w:rsidRDefault="001A30AF" w:rsidP="001A30AF">
      <w:pPr>
        <w:jc w:val="both"/>
        <w:rPr>
          <w:rFonts w:asciiTheme="majorHAnsi" w:hAnsiTheme="majorHAnsi" w:cstheme="majorHAnsi"/>
        </w:rPr>
      </w:pPr>
    </w:p>
    <w:sectPr w:rsidR="001A30AF" w:rsidRPr="001A30AF" w:rsidSect="00803749">
      <w:headerReference w:type="default" r:id="rId8"/>
      <w:footerReference w:type="default" r:id="rId9"/>
      <w:pgSz w:w="12240" w:h="15840" w:code="1"/>
      <w:pgMar w:top="720" w:right="720" w:bottom="720" w:left="720" w:header="1008" w:footer="1008" w:gutter="0"/>
      <w:paperSrc w:first="7" w:other="25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AF6" w:rsidRDefault="00F85AF6" w:rsidP="00A9448A">
      <w:pPr>
        <w:spacing w:after="0" w:line="240" w:lineRule="auto"/>
      </w:pPr>
      <w:r>
        <w:separator/>
      </w:r>
    </w:p>
  </w:endnote>
  <w:endnote w:type="continuationSeparator" w:id="0">
    <w:p w:rsidR="00F85AF6" w:rsidRDefault="00F85AF6" w:rsidP="00A94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A9" w:rsidRDefault="00803749" w:rsidP="00257897">
    <w:pPr>
      <w:pStyle w:val="NoSpacing"/>
      <w:rPr>
        <w:sz w:val="18"/>
        <w:szCs w:val="18"/>
      </w:rPr>
    </w:pPr>
    <w:r>
      <w:rPr>
        <w:sz w:val="18"/>
        <w:szCs w:val="18"/>
      </w:rPr>
      <w:t>Updated August 2016</w:t>
    </w:r>
  </w:p>
  <w:p w:rsidR="009629BF" w:rsidRPr="00E70D59" w:rsidRDefault="009629BF" w:rsidP="00257897">
    <w:pPr>
      <w:pStyle w:val="NoSpacing"/>
      <w:rPr>
        <w:sz w:val="18"/>
        <w:szCs w:val="18"/>
      </w:rPr>
    </w:pPr>
    <w:r>
      <w:rPr>
        <w:sz w:val="18"/>
        <w:szCs w:val="18"/>
      </w:rPr>
      <w:t>By AAUW CA CFO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AF6" w:rsidRDefault="00F85AF6" w:rsidP="00A9448A">
      <w:pPr>
        <w:spacing w:after="0" w:line="240" w:lineRule="auto"/>
      </w:pPr>
      <w:r>
        <w:separator/>
      </w:r>
    </w:p>
  </w:footnote>
  <w:footnote w:type="continuationSeparator" w:id="0">
    <w:p w:rsidR="00F85AF6" w:rsidRDefault="00F85AF6" w:rsidP="00A944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A9" w:rsidRDefault="00321FA9">
    <w:pPr>
      <w:pStyle w:val="Header"/>
    </w:pPr>
    <w:r>
      <w:rPr>
        <w:noProof/>
      </w:rPr>
      <w:drawing>
        <wp:anchor distT="0" distB="0" distL="114300" distR="114300" simplePos="0" relativeHeight="251659264" behindDoc="0" locked="0" layoutInCell="1" allowOverlap="1">
          <wp:simplePos x="0" y="0"/>
          <wp:positionH relativeFrom="column">
            <wp:posOffset>-318135</wp:posOffset>
          </wp:positionH>
          <wp:positionV relativeFrom="paragraph">
            <wp:posOffset>-358775</wp:posOffset>
          </wp:positionV>
          <wp:extent cx="1597688" cy="666582"/>
          <wp:effectExtent l="19050" t="0" r="2512"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AAUW (2).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97688" cy="666582"/>
                  </a:xfrm>
                  <a:prstGeom prst="rect">
                    <a:avLst/>
                  </a:prstGeom>
                </pic:spPr>
              </pic:pic>
            </a:graphicData>
          </a:graphic>
        </wp:anchor>
      </w:drawing>
    </w:r>
    <w:r w:rsidR="005652BA">
      <w:rPr>
        <w:noProof/>
      </w:rPr>
      <w:pict>
        <v:line id="Straight Connector 3" o:spid="_x0000_s4098" style="position:absolute;z-index:251660288;visibility:visible;mso-position-horizontal-relative:text;mso-position-vertical-relative:text;mso-width-relative:margin" from="65.5pt,15.7pt" to="48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" strokecolor="#4579b8 [3044]"/>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F36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rawingGridVerticalSpacing w:val="163"/>
  <w:displayHorizontalDrawingGridEvery w:val="2"/>
  <w:displayVerticalDrawingGridEvery w:val="2"/>
  <w:doNotShadeFormData/>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6C741C"/>
    <w:rsid w:val="000A59F5"/>
    <w:rsid w:val="001A30AF"/>
    <w:rsid w:val="002015D8"/>
    <w:rsid w:val="00257897"/>
    <w:rsid w:val="0026362C"/>
    <w:rsid w:val="002A2928"/>
    <w:rsid w:val="002A72CE"/>
    <w:rsid w:val="002B563A"/>
    <w:rsid w:val="0031526E"/>
    <w:rsid w:val="00321FA9"/>
    <w:rsid w:val="003264B9"/>
    <w:rsid w:val="004001E3"/>
    <w:rsid w:val="00430CC4"/>
    <w:rsid w:val="0047449B"/>
    <w:rsid w:val="005652BA"/>
    <w:rsid w:val="006119E7"/>
    <w:rsid w:val="00625D6D"/>
    <w:rsid w:val="00657147"/>
    <w:rsid w:val="006C741C"/>
    <w:rsid w:val="007325FA"/>
    <w:rsid w:val="007C63BB"/>
    <w:rsid w:val="00803749"/>
    <w:rsid w:val="00856340"/>
    <w:rsid w:val="008B50A9"/>
    <w:rsid w:val="008D1A02"/>
    <w:rsid w:val="008D1E86"/>
    <w:rsid w:val="00902825"/>
    <w:rsid w:val="009530F1"/>
    <w:rsid w:val="009629BF"/>
    <w:rsid w:val="00972EDA"/>
    <w:rsid w:val="009B319D"/>
    <w:rsid w:val="009B5318"/>
    <w:rsid w:val="009C0FC4"/>
    <w:rsid w:val="009E176E"/>
    <w:rsid w:val="00A12A49"/>
    <w:rsid w:val="00A37880"/>
    <w:rsid w:val="00A466A5"/>
    <w:rsid w:val="00A606CC"/>
    <w:rsid w:val="00A9448A"/>
    <w:rsid w:val="00B04900"/>
    <w:rsid w:val="00B9736E"/>
    <w:rsid w:val="00BA3BBF"/>
    <w:rsid w:val="00BA774B"/>
    <w:rsid w:val="00CA0862"/>
    <w:rsid w:val="00CA4CC2"/>
    <w:rsid w:val="00CB2A13"/>
    <w:rsid w:val="00D20713"/>
    <w:rsid w:val="00D51B4F"/>
    <w:rsid w:val="00DD17DE"/>
    <w:rsid w:val="00E400B6"/>
    <w:rsid w:val="00E70D59"/>
    <w:rsid w:val="00E86590"/>
    <w:rsid w:val="00F1046D"/>
    <w:rsid w:val="00F369F6"/>
    <w:rsid w:val="00F85AF6"/>
    <w:rsid w:val="00FD7122"/>
    <w:rsid w:val="00FE0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48A"/>
  </w:style>
  <w:style w:type="paragraph" w:styleId="Footer">
    <w:name w:val="footer"/>
    <w:basedOn w:val="Normal"/>
    <w:link w:val="FooterChar"/>
    <w:uiPriority w:val="99"/>
    <w:unhideWhenUsed/>
    <w:rsid w:val="00A9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8A"/>
  </w:style>
  <w:style w:type="paragraph" w:styleId="BalloonText">
    <w:name w:val="Balloon Text"/>
    <w:basedOn w:val="Normal"/>
    <w:link w:val="BalloonTextChar"/>
    <w:uiPriority w:val="99"/>
    <w:semiHidden/>
    <w:unhideWhenUsed/>
    <w:rsid w:val="00A94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8A"/>
    <w:rPr>
      <w:rFonts w:ascii="Tahoma" w:hAnsi="Tahoma" w:cs="Tahoma"/>
      <w:sz w:val="16"/>
      <w:szCs w:val="16"/>
    </w:rPr>
  </w:style>
  <w:style w:type="paragraph" w:styleId="NoSpacing">
    <w:name w:val="No Spacing"/>
    <w:uiPriority w:val="1"/>
    <w:qFormat/>
    <w:rsid w:val="00E400B6"/>
    <w:pPr>
      <w:spacing w:after="0" w:line="240" w:lineRule="auto"/>
    </w:pPr>
  </w:style>
  <w:style w:type="table" w:styleId="TableGrid">
    <w:name w:val="Table Grid"/>
    <w:basedOn w:val="TableNormal"/>
    <w:uiPriority w:val="59"/>
    <w:rsid w:val="00A37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369F6"/>
    <w:rPr>
      <w:color w:val="808080"/>
    </w:rPr>
  </w:style>
  <w:style w:type="paragraph" w:customStyle="1" w:styleId="Default">
    <w:name w:val="Default"/>
    <w:rsid w:val="00625D6D"/>
    <w:pPr>
      <w:autoSpaceDE w:val="0"/>
      <w:autoSpaceDN w:val="0"/>
      <w:adjustRightInd w:val="0"/>
      <w:spacing w:after="0" w:line="240" w:lineRule="auto"/>
    </w:pPr>
    <w:rPr>
      <w:rFonts w:cs="Book Antiqua"/>
      <w:color w:val="000000"/>
    </w:rPr>
  </w:style>
  <w:style w:type="paragraph" w:customStyle="1" w:styleId="NormalText">
    <w:name w:val="Normal Text"/>
    <w:rsid w:val="00A606CC"/>
    <w:pPr>
      <w:autoSpaceDE w:val="0"/>
      <w:autoSpaceDN w:val="0"/>
      <w:adjustRightInd w:val="0"/>
      <w:spacing w:after="0" w:line="240" w:lineRule="auto"/>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48A"/>
  </w:style>
  <w:style w:type="paragraph" w:styleId="Footer">
    <w:name w:val="footer"/>
    <w:basedOn w:val="Normal"/>
    <w:link w:val="FooterChar"/>
    <w:uiPriority w:val="99"/>
    <w:unhideWhenUsed/>
    <w:rsid w:val="00A9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8A"/>
  </w:style>
  <w:style w:type="paragraph" w:styleId="BalloonText">
    <w:name w:val="Balloon Text"/>
    <w:basedOn w:val="Normal"/>
    <w:link w:val="BalloonTextChar"/>
    <w:uiPriority w:val="99"/>
    <w:semiHidden/>
    <w:unhideWhenUsed/>
    <w:rsid w:val="00A94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8A"/>
    <w:rPr>
      <w:rFonts w:ascii="Tahoma" w:hAnsi="Tahoma" w:cs="Tahoma"/>
      <w:sz w:val="16"/>
      <w:szCs w:val="16"/>
    </w:rPr>
  </w:style>
  <w:style w:type="paragraph" w:styleId="NoSpacing">
    <w:name w:val="No Spacing"/>
    <w:uiPriority w:val="1"/>
    <w:qFormat/>
    <w:rsid w:val="00E400B6"/>
    <w:pPr>
      <w:spacing w:after="0" w:line="240" w:lineRule="auto"/>
    </w:pPr>
  </w:style>
  <w:style w:type="table" w:styleId="TableGrid">
    <w:name w:val="Table Grid"/>
    <w:basedOn w:val="TableNormal"/>
    <w:uiPriority w:val="59"/>
    <w:rsid w:val="00A37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69F6"/>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F269-F9A0-4932-AE57-CC59DD53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Pat Ferrer</cp:lastModifiedBy>
  <cp:revision>5</cp:revision>
  <cp:lastPrinted>2014-01-21T19:36:00Z</cp:lastPrinted>
  <dcterms:created xsi:type="dcterms:W3CDTF">2016-08-02T20:43:00Z</dcterms:created>
  <dcterms:modified xsi:type="dcterms:W3CDTF">2016-08-02T21:06:00Z</dcterms:modified>
</cp:coreProperties>
</file>